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BFD4" w14:textId="77777777" w:rsidR="00F46E6C" w:rsidRDefault="00F46E6C" w:rsidP="00072C94">
      <w:pPr>
        <w:pStyle w:val="Heading1"/>
        <w:rPr>
          <w:sz w:val="40"/>
          <w:szCs w:val="40"/>
        </w:rPr>
      </w:pPr>
      <w:bookmarkStart w:id="0" w:name="_Toc225954434"/>
    </w:p>
    <w:p w14:paraId="5809A20D" w14:textId="7F705AAF" w:rsidR="00072C94" w:rsidRPr="00DB6363" w:rsidRDefault="00072C94" w:rsidP="00072C94">
      <w:pPr>
        <w:pStyle w:val="Heading1"/>
      </w:pPr>
      <w:bookmarkStart w:id="1" w:name="_Toc227340232"/>
      <w:r w:rsidRPr="00072C94">
        <w:rPr>
          <w:sz w:val="40"/>
          <w:szCs w:val="40"/>
        </w:rPr>
        <w:t>GPCE updated guidance on Advice and Guidance (A&amp;G) and Single Point of Access (</w:t>
      </w:r>
      <w:proofErr w:type="spellStart"/>
      <w:r w:rsidRPr="00072C94">
        <w:rPr>
          <w:sz w:val="40"/>
          <w:szCs w:val="40"/>
        </w:rPr>
        <w:t>SPoA</w:t>
      </w:r>
      <w:proofErr w:type="spellEnd"/>
      <w:r w:rsidRPr="00072C94">
        <w:rPr>
          <w:sz w:val="40"/>
          <w:szCs w:val="40"/>
        </w:rPr>
        <w:t>)</w:t>
      </w:r>
      <w:bookmarkEnd w:id="0"/>
      <w:bookmarkEnd w:id="1"/>
    </w:p>
    <w:p w14:paraId="049AAC7C" w14:textId="77777777" w:rsidR="00072C94" w:rsidRPr="00DB6363" w:rsidRDefault="00072C94" w:rsidP="00072C94">
      <w:pPr>
        <w:pStyle w:val="Heading1"/>
      </w:pPr>
      <w:bookmarkStart w:id="2" w:name="_Toc225936263"/>
      <w:bookmarkStart w:id="3" w:name="_Toc225954435"/>
      <w:bookmarkStart w:id="4" w:name="_Toc227340233"/>
      <w:r w:rsidRPr="00DB6363">
        <w:t>April 2026</w:t>
      </w:r>
      <w:bookmarkEnd w:id="2"/>
      <w:bookmarkEnd w:id="3"/>
      <w:bookmarkEnd w:id="4"/>
    </w:p>
    <w:p w14:paraId="3CD7C9C5" w14:textId="77777777" w:rsidR="00072C94" w:rsidRPr="00DB6363" w:rsidRDefault="00000000" w:rsidP="00072C94">
      <w:r>
        <w:pict w14:anchorId="382B33B9">
          <v:rect id="_x0000_i1025" style="width:468pt;height:.5pt" o:hralign="center" o:hrstd="t" o:hrnoshade="t" o:hr="t" fillcolor="black" stroked="f"/>
        </w:pict>
      </w:r>
    </w:p>
    <w:sdt>
      <w:sdtPr>
        <w:id w:val="531128644"/>
        <w:docPartObj>
          <w:docPartGallery w:val="Table of Contents"/>
          <w:docPartUnique/>
        </w:docPartObj>
      </w:sdtPr>
      <w:sdtContent>
        <w:p w14:paraId="50A99B72" w14:textId="0738BCF5" w:rsidR="006E6331" w:rsidRDefault="1CAD86B4">
          <w:pPr>
            <w:pStyle w:val="TOC1"/>
            <w:tabs>
              <w:tab w:val="right" w:leader="dot" w:pos="9204"/>
            </w:tabs>
            <w:rPr>
              <w:noProof/>
              <w:kern w:val="2"/>
              <w:lang w:eastAsia="en-GB"/>
              <w14:ligatures w14:val="standardContextual"/>
            </w:rPr>
          </w:pPr>
          <w:r>
            <w:fldChar w:fldCharType="begin"/>
          </w:r>
          <w:r w:rsidR="00401DB8">
            <w:instrText>TOC \o "1-3" \z \u \h</w:instrText>
          </w:r>
          <w:r>
            <w:fldChar w:fldCharType="separate"/>
          </w:r>
          <w:hyperlink w:anchor="_Toc227340232" w:history="1">
            <w:r w:rsidR="006E6331" w:rsidRPr="00DE6AE7">
              <w:rPr>
                <w:rStyle w:val="Hyperlink"/>
                <w:noProof/>
              </w:rPr>
              <w:t>GPCE updated guidance on Advice and Guidance (A&amp;G) and Single Point of Access (SPoA)</w:t>
            </w:r>
            <w:r w:rsidR="006E6331">
              <w:rPr>
                <w:noProof/>
                <w:webHidden/>
              </w:rPr>
              <w:tab/>
            </w:r>
            <w:r w:rsidR="006E6331">
              <w:rPr>
                <w:noProof/>
                <w:webHidden/>
              </w:rPr>
              <w:fldChar w:fldCharType="begin"/>
            </w:r>
            <w:r w:rsidR="006E6331">
              <w:rPr>
                <w:noProof/>
                <w:webHidden/>
              </w:rPr>
              <w:instrText xml:space="preserve"> PAGEREF _Toc227340232 \h </w:instrText>
            </w:r>
            <w:r w:rsidR="006E6331">
              <w:rPr>
                <w:noProof/>
                <w:webHidden/>
              </w:rPr>
            </w:r>
            <w:r w:rsidR="006E6331">
              <w:rPr>
                <w:noProof/>
                <w:webHidden/>
              </w:rPr>
              <w:fldChar w:fldCharType="separate"/>
            </w:r>
            <w:r w:rsidR="006E6331">
              <w:rPr>
                <w:noProof/>
                <w:webHidden/>
              </w:rPr>
              <w:t>1</w:t>
            </w:r>
            <w:r w:rsidR="006E6331">
              <w:rPr>
                <w:noProof/>
                <w:webHidden/>
              </w:rPr>
              <w:fldChar w:fldCharType="end"/>
            </w:r>
          </w:hyperlink>
        </w:p>
        <w:p w14:paraId="15BD441A" w14:textId="216EBDA8" w:rsidR="006E6331" w:rsidRDefault="00000000">
          <w:pPr>
            <w:pStyle w:val="TOC1"/>
            <w:tabs>
              <w:tab w:val="right" w:leader="dot" w:pos="9204"/>
            </w:tabs>
            <w:rPr>
              <w:noProof/>
              <w:kern w:val="2"/>
              <w:lang w:eastAsia="en-GB"/>
              <w14:ligatures w14:val="standardContextual"/>
            </w:rPr>
          </w:pPr>
          <w:hyperlink w:anchor="_Toc227340233" w:history="1">
            <w:r w:rsidR="006E6331" w:rsidRPr="00DE6AE7">
              <w:rPr>
                <w:rStyle w:val="Hyperlink"/>
                <w:noProof/>
              </w:rPr>
              <w:t>April 2026</w:t>
            </w:r>
            <w:r w:rsidR="006E6331">
              <w:rPr>
                <w:noProof/>
                <w:webHidden/>
              </w:rPr>
              <w:tab/>
            </w:r>
            <w:r w:rsidR="006E6331">
              <w:rPr>
                <w:noProof/>
                <w:webHidden/>
              </w:rPr>
              <w:fldChar w:fldCharType="begin"/>
            </w:r>
            <w:r w:rsidR="006E6331">
              <w:rPr>
                <w:noProof/>
                <w:webHidden/>
              </w:rPr>
              <w:instrText xml:space="preserve"> PAGEREF _Toc227340233 \h </w:instrText>
            </w:r>
            <w:r w:rsidR="006E6331">
              <w:rPr>
                <w:noProof/>
                <w:webHidden/>
              </w:rPr>
            </w:r>
            <w:r w:rsidR="006E6331">
              <w:rPr>
                <w:noProof/>
                <w:webHidden/>
              </w:rPr>
              <w:fldChar w:fldCharType="separate"/>
            </w:r>
            <w:r w:rsidR="006E6331">
              <w:rPr>
                <w:noProof/>
                <w:webHidden/>
              </w:rPr>
              <w:t>1</w:t>
            </w:r>
            <w:r w:rsidR="006E6331">
              <w:rPr>
                <w:noProof/>
                <w:webHidden/>
              </w:rPr>
              <w:fldChar w:fldCharType="end"/>
            </w:r>
          </w:hyperlink>
        </w:p>
        <w:p w14:paraId="18EA4B33" w14:textId="1B8712F0" w:rsidR="006E6331" w:rsidRDefault="00000000">
          <w:pPr>
            <w:pStyle w:val="TOC1"/>
            <w:tabs>
              <w:tab w:val="right" w:leader="dot" w:pos="9204"/>
            </w:tabs>
            <w:rPr>
              <w:noProof/>
              <w:kern w:val="2"/>
              <w:lang w:eastAsia="en-GB"/>
              <w14:ligatures w14:val="standardContextual"/>
            </w:rPr>
          </w:pPr>
          <w:hyperlink w:anchor="_Toc227340234" w:history="1">
            <w:r w:rsidR="006E6331" w:rsidRPr="00DE6AE7">
              <w:rPr>
                <w:rStyle w:val="Hyperlink"/>
                <w:noProof/>
              </w:rPr>
              <w:t>Key Messages for Practices</w:t>
            </w:r>
            <w:r w:rsidR="006E6331">
              <w:rPr>
                <w:noProof/>
                <w:webHidden/>
              </w:rPr>
              <w:tab/>
            </w:r>
            <w:r w:rsidR="006E6331">
              <w:rPr>
                <w:noProof/>
                <w:webHidden/>
              </w:rPr>
              <w:fldChar w:fldCharType="begin"/>
            </w:r>
            <w:r w:rsidR="006E6331">
              <w:rPr>
                <w:noProof/>
                <w:webHidden/>
              </w:rPr>
              <w:instrText xml:space="preserve"> PAGEREF _Toc227340234 \h </w:instrText>
            </w:r>
            <w:r w:rsidR="006E6331">
              <w:rPr>
                <w:noProof/>
                <w:webHidden/>
              </w:rPr>
            </w:r>
            <w:r w:rsidR="006E6331">
              <w:rPr>
                <w:noProof/>
                <w:webHidden/>
              </w:rPr>
              <w:fldChar w:fldCharType="separate"/>
            </w:r>
            <w:r w:rsidR="006E6331">
              <w:rPr>
                <w:noProof/>
                <w:webHidden/>
              </w:rPr>
              <w:t>2</w:t>
            </w:r>
            <w:r w:rsidR="006E6331">
              <w:rPr>
                <w:noProof/>
                <w:webHidden/>
              </w:rPr>
              <w:fldChar w:fldCharType="end"/>
            </w:r>
          </w:hyperlink>
        </w:p>
        <w:p w14:paraId="6F53AE61" w14:textId="7786F984" w:rsidR="006E6331" w:rsidRDefault="00000000">
          <w:pPr>
            <w:pStyle w:val="TOC1"/>
            <w:tabs>
              <w:tab w:val="right" w:leader="dot" w:pos="9204"/>
            </w:tabs>
            <w:rPr>
              <w:noProof/>
              <w:kern w:val="2"/>
              <w:lang w:eastAsia="en-GB"/>
              <w14:ligatures w14:val="standardContextual"/>
            </w:rPr>
          </w:pPr>
          <w:hyperlink w:anchor="_Toc227340235" w:history="1">
            <w:r w:rsidR="006E6331" w:rsidRPr="00DE6AE7">
              <w:rPr>
                <w:rStyle w:val="Hyperlink"/>
                <w:noProof/>
              </w:rPr>
              <w:t>Purpose of this guidance</w:t>
            </w:r>
            <w:r w:rsidR="006E6331">
              <w:rPr>
                <w:noProof/>
                <w:webHidden/>
              </w:rPr>
              <w:tab/>
            </w:r>
            <w:r w:rsidR="006E6331">
              <w:rPr>
                <w:noProof/>
                <w:webHidden/>
              </w:rPr>
              <w:fldChar w:fldCharType="begin"/>
            </w:r>
            <w:r w:rsidR="006E6331">
              <w:rPr>
                <w:noProof/>
                <w:webHidden/>
              </w:rPr>
              <w:instrText xml:space="preserve"> PAGEREF _Toc227340235 \h </w:instrText>
            </w:r>
            <w:r w:rsidR="006E6331">
              <w:rPr>
                <w:noProof/>
                <w:webHidden/>
              </w:rPr>
            </w:r>
            <w:r w:rsidR="006E6331">
              <w:rPr>
                <w:noProof/>
                <w:webHidden/>
              </w:rPr>
              <w:fldChar w:fldCharType="separate"/>
            </w:r>
            <w:r w:rsidR="006E6331">
              <w:rPr>
                <w:noProof/>
                <w:webHidden/>
              </w:rPr>
              <w:t>2</w:t>
            </w:r>
            <w:r w:rsidR="006E6331">
              <w:rPr>
                <w:noProof/>
                <w:webHidden/>
              </w:rPr>
              <w:fldChar w:fldCharType="end"/>
            </w:r>
          </w:hyperlink>
        </w:p>
        <w:p w14:paraId="7855AAAF" w14:textId="15D6A32F" w:rsidR="006E6331" w:rsidRDefault="00000000">
          <w:pPr>
            <w:pStyle w:val="TOC1"/>
            <w:tabs>
              <w:tab w:val="right" w:leader="dot" w:pos="9204"/>
            </w:tabs>
            <w:rPr>
              <w:noProof/>
              <w:kern w:val="2"/>
              <w:lang w:eastAsia="en-GB"/>
              <w14:ligatures w14:val="standardContextual"/>
            </w:rPr>
          </w:pPr>
          <w:hyperlink w:anchor="_Toc227340236" w:history="1">
            <w:r w:rsidR="006E6331" w:rsidRPr="00DE6AE7">
              <w:rPr>
                <w:rStyle w:val="Hyperlink"/>
                <w:noProof/>
              </w:rPr>
              <w:t>The GP’s Role and the Ability to Refer</w:t>
            </w:r>
            <w:r w:rsidR="006E6331">
              <w:rPr>
                <w:noProof/>
                <w:webHidden/>
              </w:rPr>
              <w:tab/>
            </w:r>
            <w:r w:rsidR="006E6331">
              <w:rPr>
                <w:noProof/>
                <w:webHidden/>
              </w:rPr>
              <w:fldChar w:fldCharType="begin"/>
            </w:r>
            <w:r w:rsidR="006E6331">
              <w:rPr>
                <w:noProof/>
                <w:webHidden/>
              </w:rPr>
              <w:instrText xml:space="preserve"> PAGEREF _Toc227340236 \h </w:instrText>
            </w:r>
            <w:r w:rsidR="006E6331">
              <w:rPr>
                <w:noProof/>
                <w:webHidden/>
              </w:rPr>
            </w:r>
            <w:r w:rsidR="006E6331">
              <w:rPr>
                <w:noProof/>
                <w:webHidden/>
              </w:rPr>
              <w:fldChar w:fldCharType="separate"/>
            </w:r>
            <w:r w:rsidR="006E6331">
              <w:rPr>
                <w:noProof/>
                <w:webHidden/>
              </w:rPr>
              <w:t>3</w:t>
            </w:r>
            <w:r w:rsidR="006E6331">
              <w:rPr>
                <w:noProof/>
                <w:webHidden/>
              </w:rPr>
              <w:fldChar w:fldCharType="end"/>
            </w:r>
          </w:hyperlink>
        </w:p>
        <w:p w14:paraId="0981E7B3" w14:textId="18399594" w:rsidR="006E6331" w:rsidRDefault="00000000">
          <w:pPr>
            <w:pStyle w:val="TOC1"/>
            <w:tabs>
              <w:tab w:val="right" w:leader="dot" w:pos="9204"/>
            </w:tabs>
            <w:rPr>
              <w:noProof/>
              <w:kern w:val="2"/>
              <w:lang w:eastAsia="en-GB"/>
              <w14:ligatures w14:val="standardContextual"/>
            </w:rPr>
          </w:pPr>
          <w:hyperlink w:anchor="_Toc227340237" w:history="1">
            <w:r w:rsidR="006E6331" w:rsidRPr="00DE6AE7">
              <w:rPr>
                <w:rStyle w:val="Hyperlink"/>
                <w:noProof/>
              </w:rPr>
              <w:t>Single Point of Access (SPoA)</w:t>
            </w:r>
            <w:r w:rsidR="006E6331">
              <w:rPr>
                <w:noProof/>
                <w:webHidden/>
              </w:rPr>
              <w:tab/>
            </w:r>
            <w:r w:rsidR="006E6331">
              <w:rPr>
                <w:noProof/>
                <w:webHidden/>
              </w:rPr>
              <w:fldChar w:fldCharType="begin"/>
            </w:r>
            <w:r w:rsidR="006E6331">
              <w:rPr>
                <w:noProof/>
                <w:webHidden/>
              </w:rPr>
              <w:instrText xml:space="preserve"> PAGEREF _Toc227340237 \h </w:instrText>
            </w:r>
            <w:r w:rsidR="006E6331">
              <w:rPr>
                <w:noProof/>
                <w:webHidden/>
              </w:rPr>
            </w:r>
            <w:r w:rsidR="006E6331">
              <w:rPr>
                <w:noProof/>
                <w:webHidden/>
              </w:rPr>
              <w:fldChar w:fldCharType="separate"/>
            </w:r>
            <w:r w:rsidR="006E6331">
              <w:rPr>
                <w:noProof/>
                <w:webHidden/>
              </w:rPr>
              <w:t>3</w:t>
            </w:r>
            <w:r w:rsidR="006E6331">
              <w:rPr>
                <w:noProof/>
                <w:webHidden/>
              </w:rPr>
              <w:fldChar w:fldCharType="end"/>
            </w:r>
          </w:hyperlink>
        </w:p>
        <w:p w14:paraId="57A275B3" w14:textId="59951CB8" w:rsidR="006E6331" w:rsidRDefault="00000000">
          <w:pPr>
            <w:pStyle w:val="TOC1"/>
            <w:tabs>
              <w:tab w:val="right" w:leader="dot" w:pos="9204"/>
            </w:tabs>
            <w:rPr>
              <w:noProof/>
              <w:kern w:val="2"/>
              <w:lang w:eastAsia="en-GB"/>
              <w14:ligatures w14:val="standardContextual"/>
            </w:rPr>
          </w:pPr>
          <w:hyperlink w:anchor="_Toc227340238" w:history="1">
            <w:r w:rsidR="006E6331" w:rsidRPr="00DE6AE7">
              <w:rPr>
                <w:rStyle w:val="Hyperlink"/>
                <w:noProof/>
              </w:rPr>
              <w:t>Development of SPoA Pathways</w:t>
            </w:r>
            <w:r w:rsidR="006E6331">
              <w:rPr>
                <w:noProof/>
                <w:webHidden/>
              </w:rPr>
              <w:tab/>
            </w:r>
            <w:r w:rsidR="006E6331">
              <w:rPr>
                <w:noProof/>
                <w:webHidden/>
              </w:rPr>
              <w:fldChar w:fldCharType="begin"/>
            </w:r>
            <w:r w:rsidR="006E6331">
              <w:rPr>
                <w:noProof/>
                <w:webHidden/>
              </w:rPr>
              <w:instrText xml:space="preserve"> PAGEREF _Toc227340238 \h </w:instrText>
            </w:r>
            <w:r w:rsidR="006E6331">
              <w:rPr>
                <w:noProof/>
                <w:webHidden/>
              </w:rPr>
            </w:r>
            <w:r w:rsidR="006E6331">
              <w:rPr>
                <w:noProof/>
                <w:webHidden/>
              </w:rPr>
              <w:fldChar w:fldCharType="separate"/>
            </w:r>
            <w:r w:rsidR="006E6331">
              <w:rPr>
                <w:noProof/>
                <w:webHidden/>
              </w:rPr>
              <w:t>4</w:t>
            </w:r>
            <w:r w:rsidR="006E6331">
              <w:rPr>
                <w:noProof/>
                <w:webHidden/>
              </w:rPr>
              <w:fldChar w:fldCharType="end"/>
            </w:r>
          </w:hyperlink>
        </w:p>
        <w:p w14:paraId="0E8A2C4C" w14:textId="47A04EA0" w:rsidR="006E6331" w:rsidRDefault="00000000">
          <w:pPr>
            <w:pStyle w:val="TOC1"/>
            <w:tabs>
              <w:tab w:val="right" w:leader="dot" w:pos="9204"/>
            </w:tabs>
            <w:rPr>
              <w:noProof/>
              <w:kern w:val="2"/>
              <w:lang w:eastAsia="en-GB"/>
              <w14:ligatures w14:val="standardContextual"/>
            </w:rPr>
          </w:pPr>
          <w:hyperlink w:anchor="_Toc227340239" w:history="1">
            <w:r w:rsidR="006E6331" w:rsidRPr="00DE6AE7">
              <w:rPr>
                <w:rStyle w:val="Hyperlink"/>
                <w:noProof/>
              </w:rPr>
              <w:t>Appropriate Use of Advice and Guidance</w:t>
            </w:r>
            <w:r w:rsidR="006E6331">
              <w:rPr>
                <w:noProof/>
                <w:webHidden/>
              </w:rPr>
              <w:tab/>
            </w:r>
            <w:r w:rsidR="006E6331">
              <w:rPr>
                <w:noProof/>
                <w:webHidden/>
              </w:rPr>
              <w:fldChar w:fldCharType="begin"/>
            </w:r>
            <w:r w:rsidR="006E6331">
              <w:rPr>
                <w:noProof/>
                <w:webHidden/>
              </w:rPr>
              <w:instrText xml:space="preserve"> PAGEREF _Toc227340239 \h </w:instrText>
            </w:r>
            <w:r w:rsidR="006E6331">
              <w:rPr>
                <w:noProof/>
                <w:webHidden/>
              </w:rPr>
            </w:r>
            <w:r w:rsidR="006E6331">
              <w:rPr>
                <w:noProof/>
                <w:webHidden/>
              </w:rPr>
              <w:fldChar w:fldCharType="separate"/>
            </w:r>
            <w:r w:rsidR="006E6331">
              <w:rPr>
                <w:noProof/>
                <w:webHidden/>
              </w:rPr>
              <w:t>4</w:t>
            </w:r>
            <w:r w:rsidR="006E6331">
              <w:rPr>
                <w:noProof/>
                <w:webHidden/>
              </w:rPr>
              <w:fldChar w:fldCharType="end"/>
            </w:r>
          </w:hyperlink>
        </w:p>
        <w:p w14:paraId="65D21209" w14:textId="39E15D2D" w:rsidR="006E6331" w:rsidRDefault="00000000">
          <w:pPr>
            <w:pStyle w:val="TOC1"/>
            <w:tabs>
              <w:tab w:val="right" w:leader="dot" w:pos="9204"/>
            </w:tabs>
            <w:rPr>
              <w:noProof/>
              <w:kern w:val="2"/>
              <w:lang w:eastAsia="en-GB"/>
              <w14:ligatures w14:val="standardContextual"/>
            </w:rPr>
          </w:pPr>
          <w:hyperlink w:anchor="_Toc227340240" w:history="1">
            <w:r w:rsidR="006E6331" w:rsidRPr="00DE6AE7">
              <w:rPr>
                <w:rStyle w:val="Hyperlink"/>
                <w:noProof/>
              </w:rPr>
              <w:t>Clinical Responsibility and Jess’s Rule</w:t>
            </w:r>
            <w:r w:rsidR="006E6331">
              <w:rPr>
                <w:noProof/>
                <w:webHidden/>
              </w:rPr>
              <w:tab/>
            </w:r>
            <w:r w:rsidR="006E6331">
              <w:rPr>
                <w:noProof/>
                <w:webHidden/>
              </w:rPr>
              <w:fldChar w:fldCharType="begin"/>
            </w:r>
            <w:r w:rsidR="006E6331">
              <w:rPr>
                <w:noProof/>
                <w:webHidden/>
              </w:rPr>
              <w:instrText xml:space="preserve"> PAGEREF _Toc227340240 \h </w:instrText>
            </w:r>
            <w:r w:rsidR="006E6331">
              <w:rPr>
                <w:noProof/>
                <w:webHidden/>
              </w:rPr>
            </w:r>
            <w:r w:rsidR="006E6331">
              <w:rPr>
                <w:noProof/>
                <w:webHidden/>
              </w:rPr>
              <w:fldChar w:fldCharType="separate"/>
            </w:r>
            <w:r w:rsidR="006E6331">
              <w:rPr>
                <w:noProof/>
                <w:webHidden/>
              </w:rPr>
              <w:t>4</w:t>
            </w:r>
            <w:r w:rsidR="006E6331">
              <w:rPr>
                <w:noProof/>
                <w:webHidden/>
              </w:rPr>
              <w:fldChar w:fldCharType="end"/>
            </w:r>
          </w:hyperlink>
        </w:p>
        <w:p w14:paraId="470AC679" w14:textId="0EB3D341" w:rsidR="006E6331" w:rsidRDefault="00000000">
          <w:pPr>
            <w:pStyle w:val="TOC1"/>
            <w:tabs>
              <w:tab w:val="right" w:leader="dot" w:pos="9204"/>
            </w:tabs>
            <w:rPr>
              <w:noProof/>
              <w:kern w:val="2"/>
              <w:lang w:eastAsia="en-GB"/>
              <w14:ligatures w14:val="standardContextual"/>
            </w:rPr>
          </w:pPr>
          <w:hyperlink w:anchor="_Toc227340241" w:history="1">
            <w:r w:rsidR="006E6331" w:rsidRPr="00DE6AE7">
              <w:rPr>
                <w:rStyle w:val="Hyperlink"/>
                <w:noProof/>
              </w:rPr>
              <w:t>Clinical Safety and Professional Limits</w:t>
            </w:r>
            <w:r w:rsidR="006E6331">
              <w:rPr>
                <w:noProof/>
                <w:webHidden/>
              </w:rPr>
              <w:tab/>
            </w:r>
            <w:r w:rsidR="006E6331">
              <w:rPr>
                <w:noProof/>
                <w:webHidden/>
              </w:rPr>
              <w:fldChar w:fldCharType="begin"/>
            </w:r>
            <w:r w:rsidR="006E6331">
              <w:rPr>
                <w:noProof/>
                <w:webHidden/>
              </w:rPr>
              <w:instrText xml:space="preserve"> PAGEREF _Toc227340241 \h </w:instrText>
            </w:r>
            <w:r w:rsidR="006E6331">
              <w:rPr>
                <w:noProof/>
                <w:webHidden/>
              </w:rPr>
            </w:r>
            <w:r w:rsidR="006E6331">
              <w:rPr>
                <w:noProof/>
                <w:webHidden/>
              </w:rPr>
              <w:fldChar w:fldCharType="separate"/>
            </w:r>
            <w:r w:rsidR="006E6331">
              <w:rPr>
                <w:noProof/>
                <w:webHidden/>
              </w:rPr>
              <w:t>5</w:t>
            </w:r>
            <w:r w:rsidR="006E6331">
              <w:rPr>
                <w:noProof/>
                <w:webHidden/>
              </w:rPr>
              <w:fldChar w:fldCharType="end"/>
            </w:r>
          </w:hyperlink>
        </w:p>
        <w:p w14:paraId="036CFCAF" w14:textId="014E4388" w:rsidR="006E6331" w:rsidRDefault="00000000">
          <w:pPr>
            <w:pStyle w:val="TOC1"/>
            <w:tabs>
              <w:tab w:val="right" w:leader="dot" w:pos="9204"/>
            </w:tabs>
            <w:rPr>
              <w:noProof/>
              <w:kern w:val="2"/>
              <w:lang w:eastAsia="en-GB"/>
              <w14:ligatures w14:val="standardContextual"/>
            </w:rPr>
          </w:pPr>
          <w:hyperlink w:anchor="_Toc227340242" w:history="1">
            <w:r w:rsidR="006E6331" w:rsidRPr="00DE6AE7">
              <w:rPr>
                <w:rStyle w:val="Hyperlink"/>
                <w:noProof/>
              </w:rPr>
              <w:t>Avoiding Unfunded Workload Transfer</w:t>
            </w:r>
            <w:r w:rsidR="006E6331">
              <w:rPr>
                <w:noProof/>
                <w:webHidden/>
              </w:rPr>
              <w:tab/>
            </w:r>
            <w:r w:rsidR="006E6331">
              <w:rPr>
                <w:noProof/>
                <w:webHidden/>
              </w:rPr>
              <w:fldChar w:fldCharType="begin"/>
            </w:r>
            <w:r w:rsidR="006E6331">
              <w:rPr>
                <w:noProof/>
                <w:webHidden/>
              </w:rPr>
              <w:instrText xml:space="preserve"> PAGEREF _Toc227340242 \h </w:instrText>
            </w:r>
            <w:r w:rsidR="006E6331">
              <w:rPr>
                <w:noProof/>
                <w:webHidden/>
              </w:rPr>
            </w:r>
            <w:r w:rsidR="006E6331">
              <w:rPr>
                <w:noProof/>
                <w:webHidden/>
              </w:rPr>
              <w:fldChar w:fldCharType="separate"/>
            </w:r>
            <w:r w:rsidR="006E6331">
              <w:rPr>
                <w:noProof/>
                <w:webHidden/>
              </w:rPr>
              <w:t>5</w:t>
            </w:r>
            <w:r w:rsidR="006E6331">
              <w:rPr>
                <w:noProof/>
                <w:webHidden/>
              </w:rPr>
              <w:fldChar w:fldCharType="end"/>
            </w:r>
          </w:hyperlink>
        </w:p>
        <w:p w14:paraId="07266832" w14:textId="2B56804B" w:rsidR="006E6331" w:rsidRDefault="00000000">
          <w:pPr>
            <w:pStyle w:val="TOC1"/>
            <w:tabs>
              <w:tab w:val="right" w:leader="dot" w:pos="9204"/>
            </w:tabs>
            <w:rPr>
              <w:noProof/>
              <w:kern w:val="2"/>
              <w:lang w:eastAsia="en-GB"/>
              <w14:ligatures w14:val="standardContextual"/>
            </w:rPr>
          </w:pPr>
          <w:hyperlink w:anchor="_Toc227340243" w:history="1">
            <w:r w:rsidR="006E6331" w:rsidRPr="00DE6AE7">
              <w:rPr>
                <w:rStyle w:val="Hyperlink"/>
                <w:noProof/>
              </w:rPr>
              <w:t>Documentation and Accountability</w:t>
            </w:r>
            <w:r w:rsidR="006E6331">
              <w:rPr>
                <w:noProof/>
                <w:webHidden/>
              </w:rPr>
              <w:tab/>
            </w:r>
            <w:r w:rsidR="006E6331">
              <w:rPr>
                <w:noProof/>
                <w:webHidden/>
              </w:rPr>
              <w:fldChar w:fldCharType="begin"/>
            </w:r>
            <w:r w:rsidR="006E6331">
              <w:rPr>
                <w:noProof/>
                <w:webHidden/>
              </w:rPr>
              <w:instrText xml:space="preserve"> PAGEREF _Toc227340243 \h </w:instrText>
            </w:r>
            <w:r w:rsidR="006E6331">
              <w:rPr>
                <w:noProof/>
                <w:webHidden/>
              </w:rPr>
            </w:r>
            <w:r w:rsidR="006E6331">
              <w:rPr>
                <w:noProof/>
                <w:webHidden/>
              </w:rPr>
              <w:fldChar w:fldCharType="separate"/>
            </w:r>
            <w:r w:rsidR="006E6331">
              <w:rPr>
                <w:noProof/>
                <w:webHidden/>
              </w:rPr>
              <w:t>6</w:t>
            </w:r>
            <w:r w:rsidR="006E6331">
              <w:rPr>
                <w:noProof/>
                <w:webHidden/>
              </w:rPr>
              <w:fldChar w:fldCharType="end"/>
            </w:r>
          </w:hyperlink>
        </w:p>
        <w:p w14:paraId="6777F67E" w14:textId="655F39DF" w:rsidR="006E6331" w:rsidRDefault="00000000">
          <w:pPr>
            <w:pStyle w:val="TOC1"/>
            <w:tabs>
              <w:tab w:val="right" w:leader="dot" w:pos="9204"/>
            </w:tabs>
            <w:rPr>
              <w:noProof/>
              <w:kern w:val="2"/>
              <w:lang w:eastAsia="en-GB"/>
              <w14:ligatures w14:val="standardContextual"/>
            </w:rPr>
          </w:pPr>
          <w:hyperlink w:anchor="_Toc227340244" w:history="1">
            <w:r w:rsidR="006E6331" w:rsidRPr="00DE6AE7">
              <w:rPr>
                <w:rStyle w:val="Hyperlink"/>
                <w:noProof/>
              </w:rPr>
              <w:t>Referrals via eRS and SPoA</w:t>
            </w:r>
            <w:r w:rsidR="006E6331">
              <w:rPr>
                <w:noProof/>
                <w:webHidden/>
              </w:rPr>
              <w:tab/>
            </w:r>
            <w:r w:rsidR="006E6331">
              <w:rPr>
                <w:noProof/>
                <w:webHidden/>
              </w:rPr>
              <w:fldChar w:fldCharType="begin"/>
            </w:r>
            <w:r w:rsidR="006E6331">
              <w:rPr>
                <w:noProof/>
                <w:webHidden/>
              </w:rPr>
              <w:instrText xml:space="preserve"> PAGEREF _Toc227340244 \h </w:instrText>
            </w:r>
            <w:r w:rsidR="006E6331">
              <w:rPr>
                <w:noProof/>
                <w:webHidden/>
              </w:rPr>
            </w:r>
            <w:r w:rsidR="006E6331">
              <w:rPr>
                <w:noProof/>
                <w:webHidden/>
              </w:rPr>
              <w:fldChar w:fldCharType="separate"/>
            </w:r>
            <w:r w:rsidR="006E6331">
              <w:rPr>
                <w:noProof/>
                <w:webHidden/>
              </w:rPr>
              <w:t>6</w:t>
            </w:r>
            <w:r w:rsidR="006E6331">
              <w:rPr>
                <w:noProof/>
                <w:webHidden/>
              </w:rPr>
              <w:fldChar w:fldCharType="end"/>
            </w:r>
          </w:hyperlink>
        </w:p>
        <w:p w14:paraId="00381FB0" w14:textId="470229EA" w:rsidR="006E6331" w:rsidRDefault="00000000">
          <w:pPr>
            <w:pStyle w:val="TOC1"/>
            <w:tabs>
              <w:tab w:val="right" w:leader="dot" w:pos="9204"/>
            </w:tabs>
            <w:rPr>
              <w:noProof/>
              <w:kern w:val="2"/>
              <w:lang w:eastAsia="en-GB"/>
              <w14:ligatures w14:val="standardContextual"/>
            </w:rPr>
          </w:pPr>
          <w:hyperlink w:anchor="_Toc227340245" w:history="1">
            <w:r w:rsidR="006E6331" w:rsidRPr="00DE6AE7">
              <w:rPr>
                <w:rStyle w:val="Hyperlink"/>
                <w:noProof/>
              </w:rPr>
              <w:t>Acceptance and Rejection of Referrals</w:t>
            </w:r>
            <w:r w:rsidR="006E6331">
              <w:rPr>
                <w:noProof/>
                <w:webHidden/>
              </w:rPr>
              <w:tab/>
            </w:r>
            <w:r w:rsidR="006E6331">
              <w:rPr>
                <w:noProof/>
                <w:webHidden/>
              </w:rPr>
              <w:fldChar w:fldCharType="begin"/>
            </w:r>
            <w:r w:rsidR="006E6331">
              <w:rPr>
                <w:noProof/>
                <w:webHidden/>
              </w:rPr>
              <w:instrText xml:space="preserve"> PAGEREF _Toc227340245 \h </w:instrText>
            </w:r>
            <w:r w:rsidR="006E6331">
              <w:rPr>
                <w:noProof/>
                <w:webHidden/>
              </w:rPr>
            </w:r>
            <w:r w:rsidR="006E6331">
              <w:rPr>
                <w:noProof/>
                <w:webHidden/>
              </w:rPr>
              <w:fldChar w:fldCharType="separate"/>
            </w:r>
            <w:r w:rsidR="006E6331">
              <w:rPr>
                <w:noProof/>
                <w:webHidden/>
              </w:rPr>
              <w:t>6</w:t>
            </w:r>
            <w:r w:rsidR="006E6331">
              <w:rPr>
                <w:noProof/>
                <w:webHidden/>
              </w:rPr>
              <w:fldChar w:fldCharType="end"/>
            </w:r>
          </w:hyperlink>
        </w:p>
        <w:p w14:paraId="0424433C" w14:textId="0928BF6C" w:rsidR="006E6331" w:rsidRDefault="00000000">
          <w:pPr>
            <w:pStyle w:val="TOC1"/>
            <w:tabs>
              <w:tab w:val="right" w:leader="dot" w:pos="9204"/>
            </w:tabs>
            <w:rPr>
              <w:noProof/>
              <w:kern w:val="2"/>
              <w:lang w:eastAsia="en-GB"/>
              <w14:ligatures w14:val="standardContextual"/>
            </w:rPr>
          </w:pPr>
          <w:hyperlink w:anchor="_Toc227340246" w:history="1">
            <w:r w:rsidR="006E6331" w:rsidRPr="00DE6AE7">
              <w:rPr>
                <w:rStyle w:val="Hyperlink"/>
                <w:noProof/>
              </w:rPr>
              <w:t>Managing Rejected Referrals</w:t>
            </w:r>
            <w:r w:rsidR="006E6331">
              <w:rPr>
                <w:noProof/>
                <w:webHidden/>
              </w:rPr>
              <w:tab/>
            </w:r>
            <w:r w:rsidR="006E6331">
              <w:rPr>
                <w:noProof/>
                <w:webHidden/>
              </w:rPr>
              <w:fldChar w:fldCharType="begin"/>
            </w:r>
            <w:r w:rsidR="006E6331">
              <w:rPr>
                <w:noProof/>
                <w:webHidden/>
              </w:rPr>
              <w:instrText xml:space="preserve"> PAGEREF _Toc227340246 \h </w:instrText>
            </w:r>
            <w:r w:rsidR="006E6331">
              <w:rPr>
                <w:noProof/>
                <w:webHidden/>
              </w:rPr>
            </w:r>
            <w:r w:rsidR="006E6331">
              <w:rPr>
                <w:noProof/>
                <w:webHidden/>
              </w:rPr>
              <w:fldChar w:fldCharType="separate"/>
            </w:r>
            <w:r w:rsidR="006E6331">
              <w:rPr>
                <w:noProof/>
                <w:webHidden/>
              </w:rPr>
              <w:t>6</w:t>
            </w:r>
            <w:r w:rsidR="006E6331">
              <w:rPr>
                <w:noProof/>
                <w:webHidden/>
              </w:rPr>
              <w:fldChar w:fldCharType="end"/>
            </w:r>
          </w:hyperlink>
        </w:p>
        <w:p w14:paraId="7E341349" w14:textId="02F442A9" w:rsidR="006E6331" w:rsidRDefault="00000000">
          <w:pPr>
            <w:pStyle w:val="TOC1"/>
            <w:tabs>
              <w:tab w:val="right" w:leader="dot" w:pos="9204"/>
            </w:tabs>
            <w:rPr>
              <w:noProof/>
              <w:kern w:val="2"/>
              <w:lang w:eastAsia="en-GB"/>
              <w14:ligatures w14:val="standardContextual"/>
            </w:rPr>
          </w:pPr>
          <w:hyperlink w:anchor="_Toc227340247" w:history="1">
            <w:r w:rsidR="006E6331" w:rsidRPr="00DE6AE7">
              <w:rPr>
                <w:rStyle w:val="Hyperlink"/>
                <w:noProof/>
              </w:rPr>
              <w:t>Template Letter: Referral Returned as Advice and Guidance</w:t>
            </w:r>
            <w:r w:rsidR="006E6331">
              <w:rPr>
                <w:noProof/>
                <w:webHidden/>
              </w:rPr>
              <w:tab/>
            </w:r>
            <w:r w:rsidR="006E6331">
              <w:rPr>
                <w:noProof/>
                <w:webHidden/>
              </w:rPr>
              <w:fldChar w:fldCharType="begin"/>
            </w:r>
            <w:r w:rsidR="006E6331">
              <w:rPr>
                <w:noProof/>
                <w:webHidden/>
              </w:rPr>
              <w:instrText xml:space="preserve"> PAGEREF _Toc227340247 \h </w:instrText>
            </w:r>
            <w:r w:rsidR="006E6331">
              <w:rPr>
                <w:noProof/>
                <w:webHidden/>
              </w:rPr>
            </w:r>
            <w:r w:rsidR="006E6331">
              <w:rPr>
                <w:noProof/>
                <w:webHidden/>
              </w:rPr>
              <w:fldChar w:fldCharType="separate"/>
            </w:r>
            <w:r w:rsidR="006E6331">
              <w:rPr>
                <w:noProof/>
                <w:webHidden/>
              </w:rPr>
              <w:t>8</w:t>
            </w:r>
            <w:r w:rsidR="006E6331">
              <w:rPr>
                <w:noProof/>
                <w:webHidden/>
              </w:rPr>
              <w:fldChar w:fldCharType="end"/>
            </w:r>
          </w:hyperlink>
        </w:p>
        <w:p w14:paraId="2ED4D277" w14:textId="7E61DF57" w:rsidR="006E6331" w:rsidRDefault="00000000">
          <w:pPr>
            <w:pStyle w:val="TOC1"/>
            <w:tabs>
              <w:tab w:val="right" w:leader="dot" w:pos="9204"/>
            </w:tabs>
            <w:rPr>
              <w:noProof/>
              <w:kern w:val="2"/>
              <w:lang w:eastAsia="en-GB"/>
              <w14:ligatures w14:val="standardContextual"/>
            </w:rPr>
          </w:pPr>
          <w:hyperlink w:anchor="_Toc227340248" w:history="1">
            <w:r w:rsidR="006E6331" w:rsidRPr="00DE6AE7">
              <w:rPr>
                <w:rStyle w:val="Hyperlink"/>
                <w:noProof/>
              </w:rPr>
              <w:t>Template Letter for LMCs: A&amp;G and SPoA — Patient Safety, Clinical Accountability and System Risk</w:t>
            </w:r>
            <w:r w:rsidR="006E6331">
              <w:rPr>
                <w:noProof/>
                <w:webHidden/>
              </w:rPr>
              <w:tab/>
            </w:r>
            <w:r w:rsidR="006E6331">
              <w:rPr>
                <w:noProof/>
                <w:webHidden/>
              </w:rPr>
              <w:fldChar w:fldCharType="begin"/>
            </w:r>
            <w:r w:rsidR="006E6331">
              <w:rPr>
                <w:noProof/>
                <w:webHidden/>
              </w:rPr>
              <w:instrText xml:space="preserve"> PAGEREF _Toc227340248 \h </w:instrText>
            </w:r>
            <w:r w:rsidR="006E6331">
              <w:rPr>
                <w:noProof/>
                <w:webHidden/>
              </w:rPr>
            </w:r>
            <w:r w:rsidR="006E6331">
              <w:rPr>
                <w:noProof/>
                <w:webHidden/>
              </w:rPr>
              <w:fldChar w:fldCharType="separate"/>
            </w:r>
            <w:r w:rsidR="006E6331">
              <w:rPr>
                <w:noProof/>
                <w:webHidden/>
              </w:rPr>
              <w:t>9</w:t>
            </w:r>
            <w:r w:rsidR="006E6331">
              <w:rPr>
                <w:noProof/>
                <w:webHidden/>
              </w:rPr>
              <w:fldChar w:fldCharType="end"/>
            </w:r>
          </w:hyperlink>
        </w:p>
        <w:p w14:paraId="3363BA86" w14:textId="359AE4FD" w:rsidR="1CAD86B4" w:rsidRDefault="1CAD86B4" w:rsidP="1CAD86B4">
          <w:pPr>
            <w:pStyle w:val="TOC1"/>
            <w:tabs>
              <w:tab w:val="right" w:leader="dot" w:pos="9195"/>
            </w:tabs>
            <w:rPr>
              <w:rStyle w:val="Hyperlink"/>
            </w:rPr>
          </w:pPr>
          <w:r>
            <w:fldChar w:fldCharType="end"/>
          </w:r>
          <w:r w:rsidR="00050116" w:rsidRPr="00050116">
            <w:t>Cover note for all referrals to be sent as an appendix or prefix to the referral letter and submitted to eRS</w:t>
          </w:r>
          <w:r w:rsidR="00050116">
            <w:t>………………………………………………………………………………………………………………</w:t>
          </w:r>
          <w:proofErr w:type="gramStart"/>
          <w:r w:rsidR="00050116">
            <w:t>…..</w:t>
          </w:r>
          <w:proofErr w:type="gramEnd"/>
          <w:r w:rsidR="00050116">
            <w:t>12</w:t>
          </w:r>
        </w:p>
      </w:sdtContent>
    </w:sdt>
    <w:p w14:paraId="1D22C557" w14:textId="022D2181" w:rsidR="00A83189" w:rsidRDefault="00A83189"/>
    <w:p w14:paraId="4C8FBC6E" w14:textId="77777777" w:rsidR="00072C94" w:rsidRDefault="00072C94" w:rsidP="00072C94">
      <w:pPr>
        <w:rPr>
          <w:color w:val="13316E" w:themeColor="text1"/>
          <w:sz w:val="32"/>
          <w:szCs w:val="32"/>
        </w:rPr>
      </w:pPr>
    </w:p>
    <w:p w14:paraId="31A96DB6" w14:textId="77777777" w:rsidR="00A83189" w:rsidRDefault="00A83189">
      <w:pPr>
        <w:rPr>
          <w:rFonts w:asciiTheme="majorHAnsi" w:eastAsiaTheme="majorEastAsia" w:hAnsiTheme="majorHAnsi" w:cstheme="majorBidi"/>
          <w:color w:val="064C84" w:themeColor="accent1" w:themeShade="BF"/>
          <w:sz w:val="32"/>
          <w:szCs w:val="32"/>
        </w:rPr>
      </w:pPr>
      <w:r>
        <w:br w:type="page"/>
      </w:r>
    </w:p>
    <w:p w14:paraId="3F59D208" w14:textId="2041B455" w:rsidR="003E704F" w:rsidRPr="003E704F" w:rsidRDefault="00072C94" w:rsidP="003E704F">
      <w:pPr>
        <w:pStyle w:val="Heading1"/>
        <w:spacing w:before="100" w:beforeAutospacing="1" w:after="100" w:afterAutospacing="1"/>
      </w:pPr>
      <w:bookmarkStart w:id="5" w:name="_Toc225954436"/>
      <w:bookmarkStart w:id="6" w:name="_Toc227340234"/>
      <w:r w:rsidRPr="00DB6363">
        <w:lastRenderedPageBreak/>
        <w:t>Key Messages for Practices</w:t>
      </w:r>
      <w:bookmarkEnd w:id="5"/>
      <w:bookmarkEnd w:id="6"/>
    </w:p>
    <w:p w14:paraId="50488DED" w14:textId="77777777" w:rsidR="00072C94" w:rsidRPr="00DB6363" w:rsidRDefault="00072C94" w:rsidP="003E704F">
      <w:pPr>
        <w:numPr>
          <w:ilvl w:val="0"/>
          <w:numId w:val="12"/>
        </w:numPr>
        <w:spacing w:before="100" w:beforeAutospacing="1" w:after="100" w:afterAutospacing="1"/>
      </w:pPr>
      <w:r w:rsidRPr="00DB6363">
        <w:rPr>
          <w:b/>
          <w:bCs/>
        </w:rPr>
        <w:t>GPs retain the ability to refer patients for specialist assessment</w:t>
      </w:r>
      <w:r w:rsidRPr="00DB6363">
        <w:t> where this is clinically appropriate. Advice and Guidance (A&amp;G) systems must not prevent or inappropriately delay referrals.</w:t>
      </w:r>
    </w:p>
    <w:p w14:paraId="0A799884" w14:textId="77777777" w:rsidR="00072C94" w:rsidRPr="00DB6363" w:rsidRDefault="00072C94" w:rsidP="00072C94">
      <w:pPr>
        <w:numPr>
          <w:ilvl w:val="0"/>
          <w:numId w:val="12"/>
        </w:numPr>
      </w:pPr>
      <w:r w:rsidRPr="00DB6363">
        <w:rPr>
          <w:b/>
          <w:bCs/>
        </w:rPr>
        <w:t>Single Point of Access (</w:t>
      </w:r>
      <w:proofErr w:type="spellStart"/>
      <w:r w:rsidRPr="00DB6363">
        <w:rPr>
          <w:b/>
          <w:bCs/>
        </w:rPr>
        <w:t>SPoA</w:t>
      </w:r>
      <w:proofErr w:type="spellEnd"/>
      <w:r w:rsidRPr="00DB6363">
        <w:rPr>
          <w:b/>
          <w:bCs/>
        </w:rPr>
        <w:t>)</w:t>
      </w:r>
      <w:r w:rsidRPr="00DB6363">
        <w:t> systems are intended to streamline referral pathways but </w:t>
      </w:r>
      <w:r w:rsidRPr="00DB6363">
        <w:rPr>
          <w:b/>
          <w:bCs/>
        </w:rPr>
        <w:t>do not override the GP’s clinical decision to refer</w:t>
      </w:r>
      <w:r w:rsidRPr="00DB6363">
        <w:t>.</w:t>
      </w:r>
    </w:p>
    <w:p w14:paraId="75DCA424" w14:textId="77777777" w:rsidR="00072C94" w:rsidRPr="00DB6363" w:rsidRDefault="00072C94" w:rsidP="00072C94">
      <w:pPr>
        <w:numPr>
          <w:ilvl w:val="0"/>
          <w:numId w:val="12"/>
        </w:numPr>
      </w:pPr>
      <w:r w:rsidRPr="00DB6363">
        <w:rPr>
          <w:b/>
          <w:bCs/>
        </w:rPr>
        <w:t>Advice and Guidance should support clinical care</w:t>
      </w:r>
      <w:r w:rsidRPr="00DB6363">
        <w:t>, not be used to deflect referrals, or transfer unfunded work into general practice.</w:t>
      </w:r>
    </w:p>
    <w:p w14:paraId="2C91EF04" w14:textId="77777777" w:rsidR="00072C94" w:rsidRPr="00DB6363" w:rsidRDefault="00072C94" w:rsidP="00072C94">
      <w:pPr>
        <w:numPr>
          <w:ilvl w:val="0"/>
          <w:numId w:val="12"/>
        </w:numPr>
      </w:pPr>
      <w:r w:rsidRPr="00DB6363">
        <w:rPr>
          <w:b/>
          <w:bCs/>
        </w:rPr>
        <w:t>GPs must work within their competence.</w:t>
      </w:r>
      <w:r w:rsidRPr="00DB6363">
        <w:t> Where specialist input is required to provide safe care, it must remain accessible.</w:t>
      </w:r>
    </w:p>
    <w:p w14:paraId="758B42B1" w14:textId="77777777" w:rsidR="00072C94" w:rsidRPr="00DB6363" w:rsidRDefault="00072C94" w:rsidP="00072C94">
      <w:pPr>
        <w:numPr>
          <w:ilvl w:val="0"/>
          <w:numId w:val="12"/>
        </w:numPr>
      </w:pPr>
      <w:r w:rsidRPr="00DB6363">
        <w:rPr>
          <w:b/>
          <w:bCs/>
        </w:rPr>
        <w:t>Jess’s Rule</w:t>
      </w:r>
      <w:r w:rsidRPr="00DB6363">
        <w:t> highlights the importance of reconsidering diagnoses when patients present repeatedly with unresolved symptoms.</w:t>
      </w:r>
    </w:p>
    <w:p w14:paraId="7A8A831F" w14:textId="77777777" w:rsidR="00072C94" w:rsidRPr="00DB6363" w:rsidRDefault="00072C94" w:rsidP="00072C94">
      <w:pPr>
        <w:numPr>
          <w:ilvl w:val="0"/>
          <w:numId w:val="12"/>
        </w:numPr>
      </w:pPr>
      <w:r w:rsidRPr="00DB6363">
        <w:rPr>
          <w:b/>
          <w:bCs/>
        </w:rPr>
        <w:t>Local Medical Committees (LMCs)</w:t>
      </w:r>
      <w:r w:rsidRPr="00DB6363">
        <w:t xml:space="preserve"> should be involved in the development and implementation of </w:t>
      </w:r>
      <w:proofErr w:type="spellStart"/>
      <w:r w:rsidRPr="00DB6363">
        <w:t>SPoA</w:t>
      </w:r>
      <w:proofErr w:type="spellEnd"/>
      <w:r w:rsidRPr="00DB6363">
        <w:t xml:space="preserve"> pathways and any arrangements that may transfer workload into primary care.</w:t>
      </w:r>
    </w:p>
    <w:p w14:paraId="2ED54229" w14:textId="77777777" w:rsidR="00072C94" w:rsidRDefault="00072C94" w:rsidP="00072C94">
      <w:pPr>
        <w:numPr>
          <w:ilvl w:val="0"/>
          <w:numId w:val="12"/>
        </w:numPr>
      </w:pPr>
      <w:r w:rsidRPr="00DB6363">
        <w:t>Where referrals are </w:t>
      </w:r>
      <w:r w:rsidRPr="00DB6363">
        <w:rPr>
          <w:b/>
          <w:bCs/>
        </w:rPr>
        <w:t>inappropriately returned as Advice and Guidance</w:t>
      </w:r>
      <w:r w:rsidRPr="00DB6363">
        <w:t>, practices may wish to respond formally and retain correspondence in the patient record.</w:t>
      </w:r>
    </w:p>
    <w:p w14:paraId="101D863B" w14:textId="77777777" w:rsidR="000D59CD" w:rsidRDefault="000D59CD" w:rsidP="000D59CD">
      <w:pPr>
        <w:ind w:left="720"/>
      </w:pPr>
    </w:p>
    <w:p w14:paraId="3F3B98E8" w14:textId="0FB98F8F" w:rsidR="00A83189" w:rsidRPr="00A83189" w:rsidRDefault="00072C94" w:rsidP="003E704F">
      <w:pPr>
        <w:pStyle w:val="Heading1"/>
        <w:spacing w:before="100" w:beforeAutospacing="1" w:after="100" w:afterAutospacing="1"/>
      </w:pPr>
      <w:bookmarkStart w:id="7" w:name="_Toc225954437"/>
      <w:bookmarkStart w:id="8" w:name="_Toc227340235"/>
      <w:r w:rsidRPr="00DB6363">
        <w:t>Purpose of this guidance</w:t>
      </w:r>
      <w:bookmarkEnd w:id="7"/>
      <w:bookmarkEnd w:id="8"/>
    </w:p>
    <w:p w14:paraId="2A979B3A" w14:textId="77777777" w:rsidR="00072C94" w:rsidRPr="00DB6363" w:rsidRDefault="00072C94" w:rsidP="003E704F">
      <w:pPr>
        <w:spacing w:before="100" w:beforeAutospacing="1" w:after="100" w:afterAutospacing="1"/>
      </w:pPr>
      <w:r w:rsidRPr="00DB6363">
        <w:t>This document provides guidance for </w:t>
      </w:r>
      <w:r w:rsidRPr="00DB6363">
        <w:rPr>
          <w:b/>
          <w:bCs/>
        </w:rPr>
        <w:t>Local Medical Committees (LMCs)</w:t>
      </w:r>
      <w:r w:rsidRPr="00DB6363">
        <w:t> and </w:t>
      </w:r>
      <w:r w:rsidRPr="00DB6363">
        <w:rPr>
          <w:b/>
          <w:bCs/>
        </w:rPr>
        <w:t>general practices</w:t>
      </w:r>
      <w:r w:rsidRPr="00DB6363">
        <w:t> regarding the use of </w:t>
      </w:r>
      <w:r w:rsidRPr="00DB6363">
        <w:rPr>
          <w:b/>
          <w:bCs/>
        </w:rPr>
        <w:t>Advice and Guidance (A&amp;G)</w:t>
      </w:r>
      <w:r w:rsidRPr="00DB6363">
        <w:t> and the introduction of </w:t>
      </w:r>
      <w:r w:rsidRPr="00DB6363">
        <w:rPr>
          <w:b/>
          <w:bCs/>
        </w:rPr>
        <w:t>Single Points of Access (</w:t>
      </w:r>
      <w:proofErr w:type="spellStart"/>
      <w:r w:rsidRPr="00DB6363">
        <w:rPr>
          <w:b/>
          <w:bCs/>
        </w:rPr>
        <w:t>SPoA</w:t>
      </w:r>
      <w:proofErr w:type="spellEnd"/>
      <w:r w:rsidRPr="00DB6363">
        <w:rPr>
          <w:b/>
          <w:bCs/>
        </w:rPr>
        <w:t>)</w:t>
      </w:r>
      <w:r w:rsidRPr="00DB6363">
        <w:t> within the NHS as part of the </w:t>
      </w:r>
      <w:r w:rsidRPr="00DB6363">
        <w:rPr>
          <w:b/>
          <w:bCs/>
        </w:rPr>
        <w:t>2026/27 GP Contract changes</w:t>
      </w:r>
      <w:r w:rsidRPr="00DB6363">
        <w:t>.</w:t>
      </w:r>
    </w:p>
    <w:p w14:paraId="152ACD19" w14:textId="77777777" w:rsidR="00072C94" w:rsidRPr="00DB6363" w:rsidRDefault="00072C94" w:rsidP="00072C94">
      <w:r w:rsidRPr="00DB6363">
        <w:t>It is intended to support LMCs and practices where A&amp;G systems are not functioning as intended or are creating inappropriate workload or barriers to referral.</w:t>
      </w:r>
    </w:p>
    <w:p w14:paraId="260B076F" w14:textId="77777777" w:rsidR="00072C94" w:rsidRPr="00DB6363" w:rsidRDefault="00072C94" w:rsidP="00072C94">
      <w:r w:rsidRPr="00DB6363">
        <w:t>NHS England continues to promote the use of A&amp;G to reduce pressure on secondary care and reduce referrals into hospital services. Under the </w:t>
      </w:r>
      <w:r w:rsidRPr="00DB6363">
        <w:rPr>
          <w:b/>
          <w:bCs/>
        </w:rPr>
        <w:t>2026/27 GP Contract</w:t>
      </w:r>
      <w:r w:rsidRPr="00DB6363">
        <w:t>, the £80 million A&amp;G funding (uplifted to </w:t>
      </w:r>
      <w:r w:rsidRPr="00DB6363">
        <w:rPr>
          <w:b/>
          <w:bCs/>
        </w:rPr>
        <w:t>£82 million</w:t>
      </w:r>
      <w:r w:rsidRPr="00DB6363">
        <w:t>) has been incorporated into the </w:t>
      </w:r>
      <w:r w:rsidRPr="00DB6363">
        <w:rPr>
          <w:b/>
          <w:bCs/>
        </w:rPr>
        <w:t>core GP contract funding</w:t>
      </w:r>
      <w:r w:rsidRPr="00DB6363">
        <w:t>.</w:t>
      </w:r>
    </w:p>
    <w:p w14:paraId="1028EE84" w14:textId="77777777" w:rsidR="00072C94" w:rsidRPr="00DB6363" w:rsidRDefault="00072C94" w:rsidP="00072C94">
      <w:r w:rsidRPr="00DB6363">
        <w:t>This change </w:t>
      </w:r>
      <w:r w:rsidRPr="00DB6363">
        <w:rPr>
          <w:b/>
          <w:bCs/>
        </w:rPr>
        <w:t>does not remove the ability of GPs to refer patients for specialist care</w:t>
      </w:r>
      <w:r w:rsidRPr="00DB6363">
        <w:t>.</w:t>
      </w:r>
    </w:p>
    <w:p w14:paraId="0D52F27B" w14:textId="77777777" w:rsidR="00072C94" w:rsidRPr="00DB6363" w:rsidRDefault="00072C94" w:rsidP="00072C94">
      <w:r w:rsidRPr="00DB6363">
        <w:t>However, NHS England expects </w:t>
      </w:r>
      <w:r w:rsidRPr="00DB6363">
        <w:rPr>
          <w:b/>
          <w:bCs/>
        </w:rPr>
        <w:t>Integrated Care Boards (ICBs)</w:t>
      </w:r>
      <w:r w:rsidRPr="00DB6363">
        <w:t> to identify their </w:t>
      </w:r>
      <w:r w:rsidRPr="00DB6363">
        <w:rPr>
          <w:b/>
          <w:bCs/>
        </w:rPr>
        <w:t>top ten specialties</w:t>
      </w:r>
      <w:r w:rsidRPr="00DB6363">
        <w:t> and ensure that by </w:t>
      </w:r>
      <w:r w:rsidRPr="00DB6363">
        <w:rPr>
          <w:b/>
          <w:bCs/>
        </w:rPr>
        <w:t>1 October 2026</w:t>
      </w:r>
      <w:r w:rsidRPr="00DB6363">
        <w:t> these specialties operate via a </w:t>
      </w:r>
      <w:r w:rsidRPr="00DB6363">
        <w:rPr>
          <w:b/>
          <w:bCs/>
        </w:rPr>
        <w:t>Single Point of Access (</w:t>
      </w:r>
      <w:proofErr w:type="spellStart"/>
      <w:r w:rsidRPr="00DB6363">
        <w:rPr>
          <w:b/>
          <w:bCs/>
        </w:rPr>
        <w:t>SPoA</w:t>
      </w:r>
      <w:proofErr w:type="spellEnd"/>
      <w:r w:rsidRPr="00DB6363">
        <w:rPr>
          <w:b/>
          <w:bCs/>
        </w:rPr>
        <w:t>)</w:t>
      </w:r>
      <w:r w:rsidRPr="00DB6363">
        <w:t> model.</w:t>
      </w:r>
    </w:p>
    <w:p w14:paraId="571E1CB6" w14:textId="2E65923C" w:rsidR="00072C94" w:rsidRPr="00DB6363" w:rsidRDefault="00072C94" w:rsidP="00072C94">
      <w:r w:rsidRPr="00DB6363">
        <w:t xml:space="preserve">LMCs should be involved in the development and implementation of local systems relating to A&amp;G and </w:t>
      </w:r>
      <w:proofErr w:type="spellStart"/>
      <w:r w:rsidRPr="00DB6363">
        <w:t>SPoA</w:t>
      </w:r>
      <w:proofErr w:type="spellEnd"/>
      <w:r w:rsidRPr="00DB6363">
        <w:t>.</w:t>
      </w:r>
    </w:p>
    <w:p w14:paraId="18CEA0B4" w14:textId="77777777" w:rsidR="00A83189" w:rsidRDefault="00A83189" w:rsidP="00072C94">
      <w:pPr>
        <w:rPr>
          <w:color w:val="13316E" w:themeColor="text1"/>
          <w:sz w:val="32"/>
          <w:szCs w:val="32"/>
        </w:rPr>
      </w:pPr>
    </w:p>
    <w:p w14:paraId="39404597" w14:textId="6C65CF4D" w:rsidR="00072C94" w:rsidRPr="00DB6363" w:rsidRDefault="00072C94" w:rsidP="003E704F">
      <w:pPr>
        <w:pStyle w:val="Heading1"/>
        <w:spacing w:before="100" w:beforeAutospacing="1" w:after="100" w:afterAutospacing="1"/>
      </w:pPr>
      <w:bookmarkStart w:id="9" w:name="_Toc225954438"/>
      <w:bookmarkStart w:id="10" w:name="_Toc227340236"/>
      <w:r w:rsidRPr="00DB6363">
        <w:lastRenderedPageBreak/>
        <w:t>The GP’s Role and the Ability to Refer</w:t>
      </w:r>
      <w:bookmarkEnd w:id="9"/>
      <w:bookmarkEnd w:id="10"/>
    </w:p>
    <w:p w14:paraId="71BA72AA" w14:textId="77777777" w:rsidR="00072C94" w:rsidRPr="00DB6363" w:rsidRDefault="00072C94" w:rsidP="003E704F">
      <w:pPr>
        <w:spacing w:before="100" w:beforeAutospacing="1" w:after="100" w:afterAutospacing="1"/>
      </w:pPr>
      <w:r w:rsidRPr="00DB6363">
        <w:t>GPs are </w:t>
      </w:r>
      <w:r w:rsidRPr="00DB6363">
        <w:rPr>
          <w:b/>
          <w:bCs/>
        </w:rPr>
        <w:t>independent clinical decision-makers</w:t>
      </w:r>
      <w:r w:rsidRPr="00DB6363">
        <w:t> and retain the professional responsibility to refer patients for specialist assessment where this is clinically appropriate.</w:t>
      </w:r>
    </w:p>
    <w:p w14:paraId="18CDE889" w14:textId="77777777" w:rsidR="00072C94" w:rsidRPr="00DB6363" w:rsidRDefault="00072C94" w:rsidP="00072C94">
      <w:r w:rsidRPr="00DB6363">
        <w:t>Preventing or obstructing referral may place doctors in conflict with their </w:t>
      </w:r>
      <w:r w:rsidRPr="00DB6363">
        <w:rPr>
          <w:b/>
          <w:bCs/>
        </w:rPr>
        <w:t>professional obligations under Good Medical Practice</w:t>
      </w:r>
      <w:r w:rsidRPr="00DB6363">
        <w:t>, which states that doctors must:</w:t>
      </w:r>
    </w:p>
    <w:p w14:paraId="2E5E7E27" w14:textId="77777777" w:rsidR="00072C94" w:rsidRPr="00DB6363" w:rsidRDefault="00072C94" w:rsidP="00072C94">
      <w:r w:rsidRPr="00DB6363">
        <w:t>“Refer a patient to another suitably qualified practitioner when this serves the patient’s needs.”</w:t>
      </w:r>
    </w:p>
    <w:p w14:paraId="7A1A6259" w14:textId="77777777" w:rsidR="00072C94" w:rsidRPr="00DB6363" w:rsidRDefault="00072C94" w:rsidP="00072C94">
      <w:r w:rsidRPr="00DB6363">
        <w:t>Further GMC guidance on delegation and referral is available here:</w:t>
      </w:r>
    </w:p>
    <w:p w14:paraId="613BFBC6" w14:textId="77777777" w:rsidR="00072C94" w:rsidRPr="00DB6363" w:rsidRDefault="00072C94" w:rsidP="00072C94">
      <w:r w:rsidRPr="00DB6363">
        <w:t>https://www.gmc-uk.org/professional-standards/professional-standards-for-doctors/delegation-and-referral</w:t>
      </w:r>
    </w:p>
    <w:p w14:paraId="5536B61E" w14:textId="77777777" w:rsidR="00072C94" w:rsidRPr="00DB6363" w:rsidRDefault="00072C94" w:rsidP="00072C94">
      <w:r w:rsidRPr="00DB6363">
        <w:t>This principle is also supported by the </w:t>
      </w:r>
      <w:r w:rsidRPr="00DB6363">
        <w:rPr>
          <w:b/>
          <w:bCs/>
        </w:rPr>
        <w:t>NHS Constitution</w:t>
      </w:r>
      <w:r w:rsidRPr="00DB6363">
        <w:t>, which protects patient choice in accessing specialist care.</w:t>
      </w:r>
    </w:p>
    <w:p w14:paraId="6F72BF67" w14:textId="06DBE3EE" w:rsidR="00D34D62" w:rsidRPr="00DB6363" w:rsidRDefault="00072C94" w:rsidP="00072C94">
      <w:r w:rsidRPr="00DB6363">
        <w:t>Advice and Guidance systems should therefore </w:t>
      </w:r>
      <w:r w:rsidRPr="00DB6363">
        <w:rPr>
          <w:b/>
          <w:bCs/>
        </w:rPr>
        <w:t>support clinical decision-making rather than act as a barrier to referral</w:t>
      </w:r>
      <w:r w:rsidR="000D59CD">
        <w:t>.</w:t>
      </w:r>
    </w:p>
    <w:p w14:paraId="33354F19" w14:textId="77777777" w:rsidR="00072C94" w:rsidRPr="00DB6363" w:rsidRDefault="00072C94" w:rsidP="003E704F">
      <w:pPr>
        <w:pStyle w:val="Heading1"/>
        <w:spacing w:before="100" w:beforeAutospacing="1" w:after="100" w:afterAutospacing="1"/>
      </w:pPr>
      <w:bookmarkStart w:id="11" w:name="_Toc225954439"/>
      <w:bookmarkStart w:id="12" w:name="_Toc227340237"/>
      <w:r w:rsidRPr="00DB6363">
        <w:t>Single Point of Access (</w:t>
      </w:r>
      <w:proofErr w:type="spellStart"/>
      <w:r w:rsidRPr="00DB6363">
        <w:t>SPoA</w:t>
      </w:r>
      <w:proofErr w:type="spellEnd"/>
      <w:r w:rsidRPr="00DB6363">
        <w:t>)</w:t>
      </w:r>
      <w:bookmarkEnd w:id="11"/>
      <w:bookmarkEnd w:id="12"/>
    </w:p>
    <w:p w14:paraId="1F284B2D" w14:textId="77777777" w:rsidR="00072C94" w:rsidRPr="00DB6363" w:rsidRDefault="00072C94" w:rsidP="003E704F">
      <w:pPr>
        <w:spacing w:before="100" w:beforeAutospacing="1" w:after="100" w:afterAutospacing="1"/>
      </w:pPr>
      <w:proofErr w:type="spellStart"/>
      <w:r w:rsidRPr="00DB6363">
        <w:t>SPoA</w:t>
      </w:r>
      <w:proofErr w:type="spellEnd"/>
      <w:r w:rsidRPr="00DB6363">
        <w:t xml:space="preserve"> systems are intended to provide a </w:t>
      </w:r>
      <w:r w:rsidRPr="00DB6363">
        <w:rPr>
          <w:b/>
          <w:bCs/>
        </w:rPr>
        <w:t>single digital entry point</w:t>
      </w:r>
      <w:r w:rsidRPr="00DB6363">
        <w:t> for referrals and clinical enquiries.</w:t>
      </w:r>
    </w:p>
    <w:p w14:paraId="67D8AFB3" w14:textId="77777777" w:rsidR="00072C94" w:rsidRPr="00DB6363" w:rsidRDefault="00072C94" w:rsidP="00072C94">
      <w:r w:rsidRPr="00DB6363">
        <w:t xml:space="preserve">NHS England describes </w:t>
      </w:r>
      <w:proofErr w:type="spellStart"/>
      <w:r w:rsidRPr="00DB6363">
        <w:t>SPoA</w:t>
      </w:r>
      <w:proofErr w:type="spellEnd"/>
      <w:r w:rsidRPr="00DB6363">
        <w:t xml:space="preserve"> as a mechanism to:</w:t>
      </w:r>
    </w:p>
    <w:p w14:paraId="7ED94243" w14:textId="77777777" w:rsidR="00072C94" w:rsidRPr="00DB6363" w:rsidRDefault="00072C94" w:rsidP="00072C94">
      <w:pPr>
        <w:numPr>
          <w:ilvl w:val="0"/>
          <w:numId w:val="13"/>
        </w:numPr>
      </w:pPr>
      <w:r w:rsidRPr="00DB6363">
        <w:t>Route all clinical enquiries and referrals through a single access point</w:t>
      </w:r>
    </w:p>
    <w:p w14:paraId="6FCFF52E" w14:textId="77777777" w:rsidR="00072C94" w:rsidRPr="00DB6363" w:rsidRDefault="00072C94" w:rsidP="00072C94">
      <w:pPr>
        <w:numPr>
          <w:ilvl w:val="0"/>
          <w:numId w:val="13"/>
        </w:numPr>
      </w:pPr>
      <w:r w:rsidRPr="00DB6363">
        <w:t>Enable shared clinical decision-making between primary and secondary care.</w:t>
      </w:r>
    </w:p>
    <w:p w14:paraId="17FDD4D5" w14:textId="77777777" w:rsidR="00072C94" w:rsidRPr="00DB6363" w:rsidRDefault="00072C94" w:rsidP="00072C94">
      <w:pPr>
        <w:numPr>
          <w:ilvl w:val="0"/>
          <w:numId w:val="13"/>
        </w:numPr>
      </w:pPr>
      <w:r w:rsidRPr="00DB6363">
        <w:t>Provide timely access to senior specialist advice.</w:t>
      </w:r>
    </w:p>
    <w:p w14:paraId="7FDAB13D" w14:textId="77777777" w:rsidR="00072C94" w:rsidRPr="00DB6363" w:rsidRDefault="00072C94" w:rsidP="00072C94">
      <w:pPr>
        <w:numPr>
          <w:ilvl w:val="0"/>
          <w:numId w:val="13"/>
        </w:numPr>
      </w:pPr>
      <w:r w:rsidRPr="00DB6363">
        <w:t>Reduce unnecessary administrative complexity.</w:t>
      </w:r>
    </w:p>
    <w:p w14:paraId="03CE6467" w14:textId="77777777" w:rsidR="00072C94" w:rsidRPr="00DB6363" w:rsidRDefault="00072C94" w:rsidP="00072C94">
      <w:r w:rsidRPr="00DB6363">
        <w:t xml:space="preserve">NHS England states that </w:t>
      </w:r>
      <w:proofErr w:type="spellStart"/>
      <w:r w:rsidRPr="00DB6363">
        <w:t>SPoA</w:t>
      </w:r>
      <w:proofErr w:type="spellEnd"/>
      <w:r w:rsidRPr="00DB6363">
        <w:t> </w:t>
      </w:r>
      <w:r w:rsidRPr="00DB6363">
        <w:rPr>
          <w:b/>
          <w:bCs/>
        </w:rPr>
        <w:t>does not override the GP’s decision to refer</w:t>
      </w:r>
      <w:r w:rsidRPr="00DB6363">
        <w:t xml:space="preserve"> but aims to ensure that once a referral decision has been made the patient is directed to the most appropriate service.</w:t>
      </w:r>
    </w:p>
    <w:p w14:paraId="1FEE84FC" w14:textId="77777777" w:rsidR="00072C94" w:rsidRPr="00DB6363" w:rsidRDefault="00072C94" w:rsidP="00072C94">
      <w:r w:rsidRPr="00DB6363">
        <w:t xml:space="preserve">For primary care, </w:t>
      </w:r>
      <w:proofErr w:type="spellStart"/>
      <w:r w:rsidRPr="00DB6363">
        <w:t>SPoA</w:t>
      </w:r>
      <w:proofErr w:type="spellEnd"/>
      <w:r w:rsidRPr="00DB6363">
        <w:t xml:space="preserve"> should:</w:t>
      </w:r>
    </w:p>
    <w:p w14:paraId="1C70688D" w14:textId="77777777" w:rsidR="00072C94" w:rsidRPr="00DB6363" w:rsidRDefault="00072C94" w:rsidP="00072C94">
      <w:pPr>
        <w:numPr>
          <w:ilvl w:val="0"/>
          <w:numId w:val="14"/>
        </w:numPr>
      </w:pPr>
      <w:r w:rsidRPr="00DB6363">
        <w:t>Provide a </w:t>
      </w:r>
      <w:r w:rsidRPr="00DB6363">
        <w:rPr>
          <w:b/>
          <w:bCs/>
        </w:rPr>
        <w:t>transparent route to specialist input.</w:t>
      </w:r>
    </w:p>
    <w:p w14:paraId="1F67BB1F" w14:textId="77777777" w:rsidR="00072C94" w:rsidRPr="00DB6363" w:rsidRDefault="00072C94" w:rsidP="00072C94">
      <w:pPr>
        <w:numPr>
          <w:ilvl w:val="0"/>
          <w:numId w:val="14"/>
        </w:numPr>
      </w:pPr>
      <w:r w:rsidRPr="00DB6363">
        <w:t>Offer </w:t>
      </w:r>
      <w:r w:rsidRPr="00DB6363">
        <w:rPr>
          <w:b/>
          <w:bCs/>
        </w:rPr>
        <w:t>clear response times.</w:t>
      </w:r>
    </w:p>
    <w:p w14:paraId="69825C31" w14:textId="77777777" w:rsidR="00072C94" w:rsidRPr="00DB6363" w:rsidRDefault="00072C94" w:rsidP="00072C94">
      <w:pPr>
        <w:numPr>
          <w:ilvl w:val="0"/>
          <w:numId w:val="14"/>
        </w:numPr>
      </w:pPr>
      <w:r w:rsidRPr="00DB6363">
        <w:t>Enable early access to specialist advice where community management may be appropriate.</w:t>
      </w:r>
    </w:p>
    <w:p w14:paraId="4917AC07" w14:textId="77777777" w:rsidR="00072C94" w:rsidRPr="00DB6363" w:rsidRDefault="00072C94" w:rsidP="00072C94">
      <w:pPr>
        <w:numPr>
          <w:ilvl w:val="0"/>
          <w:numId w:val="14"/>
        </w:numPr>
      </w:pPr>
      <w:r w:rsidRPr="00DB6363">
        <w:t>Reduce avoidable administrative burden once referrals are submitted.</w:t>
      </w:r>
    </w:p>
    <w:p w14:paraId="2C2F556C" w14:textId="77777777" w:rsidR="00072C94" w:rsidRPr="00DB6363" w:rsidRDefault="00072C94" w:rsidP="00072C94">
      <w:r w:rsidRPr="00DB6363">
        <w:lastRenderedPageBreak/>
        <w:t xml:space="preserve">Following </w:t>
      </w:r>
      <w:proofErr w:type="spellStart"/>
      <w:r w:rsidRPr="00DB6363">
        <w:t>SPoA</w:t>
      </w:r>
      <w:proofErr w:type="spellEnd"/>
      <w:r w:rsidRPr="00DB6363">
        <w:t xml:space="preserve"> triage, the outcome may include:</w:t>
      </w:r>
    </w:p>
    <w:p w14:paraId="2EECD1A6" w14:textId="77777777" w:rsidR="00072C94" w:rsidRPr="00DB6363" w:rsidRDefault="00072C94" w:rsidP="00072C94">
      <w:pPr>
        <w:numPr>
          <w:ilvl w:val="0"/>
          <w:numId w:val="15"/>
        </w:numPr>
      </w:pPr>
      <w:r w:rsidRPr="00DB6363">
        <w:t>Allocation of an </w:t>
      </w:r>
      <w:r w:rsidRPr="00DB6363">
        <w:rPr>
          <w:b/>
          <w:bCs/>
        </w:rPr>
        <w:t>outpatient appointment</w:t>
      </w:r>
    </w:p>
    <w:p w14:paraId="4E3396BC" w14:textId="77777777" w:rsidR="00072C94" w:rsidRPr="00DB6363" w:rsidRDefault="00072C94" w:rsidP="00072C94">
      <w:pPr>
        <w:numPr>
          <w:ilvl w:val="0"/>
          <w:numId w:val="15"/>
        </w:numPr>
      </w:pPr>
      <w:r w:rsidRPr="00DB6363">
        <w:t>A request for </w:t>
      </w:r>
      <w:r w:rsidRPr="00DB6363">
        <w:rPr>
          <w:b/>
          <w:bCs/>
        </w:rPr>
        <w:t>additional clinical information</w:t>
      </w:r>
    </w:p>
    <w:p w14:paraId="2C2A8470" w14:textId="77777777" w:rsidR="00072C94" w:rsidRPr="00DB6363" w:rsidRDefault="00072C94" w:rsidP="00072C94">
      <w:pPr>
        <w:numPr>
          <w:ilvl w:val="0"/>
          <w:numId w:val="15"/>
        </w:numPr>
      </w:pPr>
      <w:r w:rsidRPr="00DB6363">
        <w:rPr>
          <w:b/>
          <w:bCs/>
        </w:rPr>
        <w:t>Advice and Guidance</w:t>
      </w:r>
      <w:r w:rsidRPr="00DB6363">
        <w:t> regarding investigation or treatment</w:t>
      </w:r>
    </w:p>
    <w:p w14:paraId="14BC5617" w14:textId="708FFAAE" w:rsidR="000D59CD" w:rsidRPr="000D59CD" w:rsidRDefault="00072C94" w:rsidP="00D049CE">
      <w:pPr>
        <w:numPr>
          <w:ilvl w:val="0"/>
          <w:numId w:val="15"/>
        </w:numPr>
      </w:pPr>
      <w:r w:rsidRPr="00DB6363">
        <w:t>Redirection to a </w:t>
      </w:r>
      <w:r w:rsidRPr="00DB6363">
        <w:rPr>
          <w:b/>
          <w:bCs/>
        </w:rPr>
        <w:t>more appropriate specialist service</w:t>
      </w:r>
    </w:p>
    <w:p w14:paraId="0447692C" w14:textId="65207C1A" w:rsidR="00072C94" w:rsidRPr="00DB6363" w:rsidRDefault="00072C94" w:rsidP="003E704F">
      <w:pPr>
        <w:pStyle w:val="Heading1"/>
        <w:spacing w:before="100" w:beforeAutospacing="1" w:after="100" w:afterAutospacing="1"/>
      </w:pPr>
      <w:bookmarkStart w:id="13" w:name="_Toc225954440"/>
      <w:bookmarkStart w:id="14" w:name="_Toc227340238"/>
      <w:r w:rsidRPr="00DB6363">
        <w:t xml:space="preserve">Development of </w:t>
      </w:r>
      <w:proofErr w:type="spellStart"/>
      <w:r w:rsidRPr="00DB6363">
        <w:t>SPoA</w:t>
      </w:r>
      <w:proofErr w:type="spellEnd"/>
      <w:r w:rsidRPr="00DB6363">
        <w:t xml:space="preserve"> Pathways</w:t>
      </w:r>
      <w:bookmarkEnd w:id="13"/>
      <w:bookmarkEnd w:id="14"/>
    </w:p>
    <w:p w14:paraId="429A819E" w14:textId="77777777" w:rsidR="00072C94" w:rsidRPr="00DB6363" w:rsidRDefault="00072C94" w:rsidP="003E704F">
      <w:pPr>
        <w:spacing w:before="100" w:beforeAutospacing="1" w:after="100" w:afterAutospacing="1"/>
      </w:pPr>
      <w:r w:rsidRPr="00DB6363">
        <w:t xml:space="preserve">Pathways developed to operate through </w:t>
      </w:r>
      <w:proofErr w:type="spellStart"/>
      <w:r w:rsidRPr="00DB6363">
        <w:t>SPoA</w:t>
      </w:r>
      <w:proofErr w:type="spellEnd"/>
      <w:r w:rsidRPr="00DB6363">
        <w:t xml:space="preserve"> must include </w:t>
      </w:r>
      <w:r w:rsidRPr="00DB6363">
        <w:rPr>
          <w:b/>
          <w:bCs/>
        </w:rPr>
        <w:t>appropriate stakeholder engagement</w:t>
      </w:r>
      <w:r w:rsidRPr="00DB6363">
        <w:t>.</w:t>
      </w:r>
    </w:p>
    <w:p w14:paraId="3C6B72ED" w14:textId="77777777" w:rsidR="00072C94" w:rsidRPr="00DB6363" w:rsidRDefault="00072C94" w:rsidP="00072C94">
      <w:r w:rsidRPr="00DB6363">
        <w:t>LMCs, as the </w:t>
      </w:r>
      <w:r w:rsidRPr="00DB6363">
        <w:rPr>
          <w:b/>
          <w:bCs/>
        </w:rPr>
        <w:t>statutory representatives of general practice</w:t>
      </w:r>
      <w:r w:rsidRPr="00DB6363">
        <w:t>, should be involved in pathway design and implementation.</w:t>
      </w:r>
    </w:p>
    <w:p w14:paraId="55E251A6" w14:textId="41AB0DA4" w:rsidR="000D59CD" w:rsidRPr="000D59CD" w:rsidRDefault="00072C94" w:rsidP="00072C94">
      <w:r w:rsidRPr="00DB6363">
        <w:t>Pathways should also be supported by </w:t>
      </w:r>
      <w:r w:rsidRPr="00DB6363">
        <w:rPr>
          <w:b/>
          <w:bCs/>
        </w:rPr>
        <w:t>appropriate commissioning arrangements</w:t>
      </w:r>
      <w:r w:rsidRPr="00DB6363">
        <w:t> where workload shifts into primary care.</w:t>
      </w:r>
    </w:p>
    <w:p w14:paraId="6B4A4088" w14:textId="2025D04D" w:rsidR="00072C94" w:rsidRPr="00DB6363" w:rsidRDefault="00072C94" w:rsidP="00446E34">
      <w:pPr>
        <w:pStyle w:val="Heading1"/>
        <w:spacing w:before="100" w:beforeAutospacing="1" w:after="100" w:afterAutospacing="1"/>
      </w:pPr>
      <w:bookmarkStart w:id="15" w:name="_Toc225954441"/>
      <w:bookmarkStart w:id="16" w:name="_Toc227340239"/>
      <w:r w:rsidRPr="00DB6363">
        <w:t>Appropriate Use of Advice and Guidance</w:t>
      </w:r>
      <w:bookmarkEnd w:id="15"/>
      <w:bookmarkEnd w:id="16"/>
    </w:p>
    <w:p w14:paraId="1A9A9F5D" w14:textId="77777777" w:rsidR="00072C94" w:rsidRPr="00DB6363" w:rsidRDefault="00072C94" w:rsidP="00446E34">
      <w:pPr>
        <w:spacing w:before="100" w:beforeAutospacing="1" w:after="100" w:afterAutospacing="1"/>
      </w:pPr>
      <w:r w:rsidRPr="00DB6363">
        <w:t>The </w:t>
      </w:r>
      <w:r w:rsidRPr="00DB6363">
        <w:rPr>
          <w:b/>
          <w:bCs/>
        </w:rPr>
        <w:t>General Practitioners Committee England (GPCE)</w:t>
      </w:r>
      <w:r w:rsidRPr="00DB6363">
        <w:t> is clear that A&amp;G may be used as a </w:t>
      </w:r>
      <w:r w:rsidRPr="00DB6363">
        <w:rPr>
          <w:b/>
          <w:bCs/>
        </w:rPr>
        <w:t>supportive clinical tool</w:t>
      </w:r>
      <w:r w:rsidRPr="00DB6363">
        <w:t>, but </w:t>
      </w:r>
      <w:r w:rsidRPr="00DB6363">
        <w:rPr>
          <w:b/>
          <w:bCs/>
        </w:rPr>
        <w:t>must not be used to:</w:t>
      </w:r>
    </w:p>
    <w:p w14:paraId="38E0734D" w14:textId="77777777" w:rsidR="00072C94" w:rsidRPr="00DB6363" w:rsidRDefault="00072C94" w:rsidP="00072C94">
      <w:pPr>
        <w:numPr>
          <w:ilvl w:val="0"/>
          <w:numId w:val="16"/>
        </w:numPr>
      </w:pPr>
      <w:r w:rsidRPr="00DB6363">
        <w:t>Delay appropriate referrals.</w:t>
      </w:r>
    </w:p>
    <w:p w14:paraId="15B41383" w14:textId="77777777" w:rsidR="00072C94" w:rsidRPr="00DB6363" w:rsidRDefault="00072C94" w:rsidP="00072C94">
      <w:pPr>
        <w:numPr>
          <w:ilvl w:val="0"/>
          <w:numId w:val="16"/>
        </w:numPr>
      </w:pPr>
      <w:r w:rsidRPr="00DB6363">
        <w:t>Deflect referrals inappropriately.</w:t>
      </w:r>
    </w:p>
    <w:p w14:paraId="385D4775" w14:textId="77777777" w:rsidR="00072C94" w:rsidRPr="00DB6363" w:rsidRDefault="00072C94" w:rsidP="00072C94">
      <w:pPr>
        <w:numPr>
          <w:ilvl w:val="0"/>
          <w:numId w:val="16"/>
        </w:numPr>
      </w:pPr>
      <w:r w:rsidRPr="00DB6363">
        <w:t>Prevent patients accessing specialist assessment where clinically required.</w:t>
      </w:r>
    </w:p>
    <w:p w14:paraId="58A394D5" w14:textId="6AB6330F" w:rsidR="00D34D62" w:rsidRPr="00D049CE" w:rsidRDefault="00072C94" w:rsidP="00072C94">
      <w:r w:rsidRPr="00DB6363">
        <w:t>A&amp;G systems should not undermine the GP’s role as the </w:t>
      </w:r>
      <w:r w:rsidRPr="00DB6363">
        <w:rPr>
          <w:b/>
          <w:bCs/>
        </w:rPr>
        <w:t>patient’s clinical advocate</w:t>
      </w:r>
      <w:r w:rsidRPr="00DB6363">
        <w:t>.</w:t>
      </w:r>
    </w:p>
    <w:p w14:paraId="0A3F4ED5" w14:textId="43BD84FC" w:rsidR="00072C94" w:rsidRPr="00DB6363" w:rsidRDefault="00072C94" w:rsidP="003E704F">
      <w:pPr>
        <w:pStyle w:val="Heading1"/>
        <w:spacing w:before="100" w:beforeAutospacing="1" w:after="100" w:afterAutospacing="1"/>
      </w:pPr>
      <w:bookmarkStart w:id="17" w:name="_Toc225954442"/>
      <w:bookmarkStart w:id="18" w:name="_Toc227340240"/>
      <w:r w:rsidRPr="00DB6363">
        <w:t>Clinical Responsibility and Jess’s Rule</w:t>
      </w:r>
      <w:bookmarkEnd w:id="17"/>
      <w:bookmarkEnd w:id="18"/>
    </w:p>
    <w:p w14:paraId="39BFEF89" w14:textId="77777777" w:rsidR="00072C94" w:rsidRPr="00DB6363" w:rsidRDefault="00072C94" w:rsidP="003E704F">
      <w:pPr>
        <w:spacing w:before="100" w:beforeAutospacing="1" w:after="100" w:afterAutospacing="1"/>
      </w:pPr>
      <w:r w:rsidRPr="00DB6363">
        <w:rPr>
          <w:b/>
          <w:bCs/>
        </w:rPr>
        <w:t>Jess’s Rule</w:t>
      </w:r>
      <w:r w:rsidRPr="00DB6363">
        <w:t> highlights the importance of reconsidering diagnoses where patients present repeatedly with unresolved symptoms.</w:t>
      </w:r>
    </w:p>
    <w:p w14:paraId="1355306A" w14:textId="77777777" w:rsidR="00072C94" w:rsidRPr="00DB6363" w:rsidRDefault="00072C94" w:rsidP="00072C94">
      <w:r w:rsidRPr="00DB6363">
        <w:t>Clinicians are encouraged to reconsider the diagnosis if a patient presents </w:t>
      </w:r>
      <w:r w:rsidRPr="00DB6363">
        <w:rPr>
          <w:b/>
          <w:bCs/>
        </w:rPr>
        <w:t>three times with the same symptoms or concerns</w:t>
      </w:r>
      <w:r w:rsidRPr="00DB6363">
        <w:t>, particularly where symptoms:</w:t>
      </w:r>
    </w:p>
    <w:p w14:paraId="462F1D96" w14:textId="77777777" w:rsidR="00072C94" w:rsidRPr="00DB6363" w:rsidRDefault="00072C94" w:rsidP="00072C94">
      <w:pPr>
        <w:numPr>
          <w:ilvl w:val="0"/>
          <w:numId w:val="17"/>
        </w:numPr>
      </w:pPr>
      <w:r w:rsidRPr="00DB6363">
        <w:t>Persist unexpectedly.</w:t>
      </w:r>
    </w:p>
    <w:p w14:paraId="188EDD7C" w14:textId="77777777" w:rsidR="00072C94" w:rsidRPr="00DB6363" w:rsidRDefault="00072C94" w:rsidP="00072C94">
      <w:pPr>
        <w:numPr>
          <w:ilvl w:val="0"/>
          <w:numId w:val="17"/>
        </w:numPr>
      </w:pPr>
      <w:r w:rsidRPr="00DB6363">
        <w:t>Escalate</w:t>
      </w:r>
    </w:p>
    <w:p w14:paraId="3BD3974B" w14:textId="77777777" w:rsidR="00072C94" w:rsidRPr="00DB6363" w:rsidRDefault="00072C94" w:rsidP="00072C94">
      <w:pPr>
        <w:numPr>
          <w:ilvl w:val="0"/>
          <w:numId w:val="17"/>
        </w:numPr>
      </w:pPr>
      <w:r w:rsidRPr="00DB6363">
        <w:t>Remain unexplained.</w:t>
      </w:r>
    </w:p>
    <w:p w14:paraId="3F5FE965" w14:textId="77777777" w:rsidR="00072C94" w:rsidRPr="00DB6363" w:rsidRDefault="00072C94" w:rsidP="00072C94">
      <w:r w:rsidRPr="00DB6363">
        <w:lastRenderedPageBreak/>
        <w:t>In such circumstances clinicians should </w:t>
      </w:r>
      <w:r w:rsidRPr="00DB6363">
        <w:rPr>
          <w:b/>
          <w:bCs/>
        </w:rPr>
        <w:t>review and reflect on the diagnosis and management plan</w:t>
      </w:r>
      <w:r w:rsidRPr="00DB6363">
        <w:t>, and where clinically appropriate </w:t>
      </w:r>
      <w:r w:rsidRPr="00DB6363">
        <w:rPr>
          <w:b/>
          <w:bCs/>
        </w:rPr>
        <w:t>consider further investigation or referral for specialist input</w:t>
      </w:r>
      <w:r w:rsidRPr="00DB6363">
        <w:t>.</w:t>
      </w:r>
    </w:p>
    <w:p w14:paraId="5D8996AA" w14:textId="77777777" w:rsidR="00072C94" w:rsidRPr="00DB6363" w:rsidRDefault="00072C94" w:rsidP="00072C94">
      <w:r w:rsidRPr="00DB6363">
        <w:t>Jess’s Rule was developed following the death of </w:t>
      </w:r>
      <w:r w:rsidRPr="00DB6363">
        <w:rPr>
          <w:b/>
          <w:bCs/>
        </w:rPr>
        <w:t>Jessica Brady</w:t>
      </w:r>
      <w:r w:rsidRPr="00DB6363">
        <w:t>, who died from bowel cancer after repeated presentations in primary care.</w:t>
      </w:r>
    </w:p>
    <w:p w14:paraId="0265E2D6" w14:textId="77777777" w:rsidR="00072C94" w:rsidRPr="00DB6363" w:rsidRDefault="00072C94" w:rsidP="00072C94">
      <w:r w:rsidRPr="00DB6363">
        <w:t>Further information can be found here:</w:t>
      </w:r>
    </w:p>
    <w:p w14:paraId="303BA2A9" w14:textId="42392CCA" w:rsidR="00D049CE" w:rsidRPr="00D049CE" w:rsidRDefault="00000000" w:rsidP="00072C94">
      <w:hyperlink r:id="rId11" w:history="1">
        <w:r w:rsidR="00072C94" w:rsidRPr="00DB6363">
          <w:rPr>
            <w:rStyle w:val="Hyperlink"/>
          </w:rPr>
          <w:t>https://www.gmc-uk.org/news/news-archive/jesss-rule-cancer-diagnosis</w:t>
        </w:r>
      </w:hyperlink>
    </w:p>
    <w:p w14:paraId="5195013A" w14:textId="6B43D3DC" w:rsidR="00072C94" w:rsidRPr="00DB6363" w:rsidRDefault="00072C94" w:rsidP="003E704F">
      <w:pPr>
        <w:pStyle w:val="Heading1"/>
        <w:spacing w:before="100" w:beforeAutospacing="1" w:after="100" w:afterAutospacing="1"/>
      </w:pPr>
      <w:bookmarkStart w:id="19" w:name="_Toc225954443"/>
      <w:bookmarkStart w:id="20" w:name="_Toc227340241"/>
      <w:r w:rsidRPr="00DB6363">
        <w:t>Clinical Safety and Professional Limits</w:t>
      </w:r>
      <w:bookmarkEnd w:id="19"/>
      <w:bookmarkEnd w:id="20"/>
    </w:p>
    <w:p w14:paraId="5C5CF2C6" w14:textId="77777777" w:rsidR="00072C94" w:rsidRPr="00DB6363" w:rsidRDefault="00072C94" w:rsidP="003E704F">
      <w:pPr>
        <w:spacing w:before="100" w:beforeAutospacing="1" w:after="100" w:afterAutospacing="1"/>
      </w:pPr>
      <w:r w:rsidRPr="00DB6363">
        <w:t>Clinical safety and professional limits must be respected in the use of A&amp;G.</w:t>
      </w:r>
    </w:p>
    <w:p w14:paraId="74DA7490" w14:textId="77777777" w:rsidR="00072C94" w:rsidRPr="00DB6363" w:rsidRDefault="00072C94" w:rsidP="00072C94">
      <w:r w:rsidRPr="00DB6363">
        <w:t>The </w:t>
      </w:r>
      <w:r w:rsidRPr="00DB6363">
        <w:rPr>
          <w:b/>
          <w:bCs/>
        </w:rPr>
        <w:t>General Medical Council (GMC)</w:t>
      </w:r>
      <w:r w:rsidRPr="00DB6363">
        <w:t> states that doctors must work </w:t>
      </w:r>
      <w:r w:rsidRPr="00DB6363">
        <w:rPr>
          <w:b/>
          <w:bCs/>
        </w:rPr>
        <w:t>within the limits of their competence</w:t>
      </w:r>
      <w:r w:rsidRPr="00DB6363">
        <w:t>.</w:t>
      </w:r>
    </w:p>
    <w:p w14:paraId="7BB6A1F5" w14:textId="77777777" w:rsidR="00072C94" w:rsidRPr="00DB6363" w:rsidRDefault="00072C94" w:rsidP="00072C94">
      <w:r w:rsidRPr="00DB6363">
        <w:t>Further GMC guidance can be found here:</w:t>
      </w:r>
    </w:p>
    <w:p w14:paraId="287038B4" w14:textId="77777777" w:rsidR="00072C94" w:rsidRPr="00DB6363" w:rsidRDefault="00072C94" w:rsidP="00072C94">
      <w:r w:rsidRPr="00DB6363">
        <w:t>https://www.gmc-uk.org/professional-standards/professional-standards-for-doctors/good-medical-practice</w:t>
      </w:r>
    </w:p>
    <w:p w14:paraId="743C1F3D" w14:textId="77777777" w:rsidR="00072C94" w:rsidRPr="00DB6363" w:rsidRDefault="00072C94" w:rsidP="00072C94">
      <w:r w:rsidRPr="00DB6363">
        <w:t>GPs should not be expected to manage conditions that:</w:t>
      </w:r>
    </w:p>
    <w:p w14:paraId="41875CCC" w14:textId="77777777" w:rsidR="00072C94" w:rsidRPr="00DB6363" w:rsidRDefault="00072C94" w:rsidP="00072C94">
      <w:pPr>
        <w:numPr>
          <w:ilvl w:val="0"/>
          <w:numId w:val="18"/>
        </w:numPr>
      </w:pPr>
      <w:r w:rsidRPr="00DB6363">
        <w:t>Require specialist expertise.</w:t>
      </w:r>
    </w:p>
    <w:p w14:paraId="00FFDED9" w14:textId="77777777" w:rsidR="00072C94" w:rsidRPr="00DB6363" w:rsidRDefault="00072C94" w:rsidP="00072C94">
      <w:pPr>
        <w:numPr>
          <w:ilvl w:val="0"/>
          <w:numId w:val="18"/>
        </w:numPr>
      </w:pPr>
      <w:r w:rsidRPr="00DB6363">
        <w:t>Fall outside their clinical competence.</w:t>
      </w:r>
    </w:p>
    <w:p w14:paraId="7314CB0C" w14:textId="77777777" w:rsidR="00072C94" w:rsidRPr="00DB6363" w:rsidRDefault="00072C94" w:rsidP="00072C94">
      <w:pPr>
        <w:numPr>
          <w:ilvl w:val="0"/>
          <w:numId w:val="18"/>
        </w:numPr>
      </w:pPr>
      <w:r w:rsidRPr="00DB6363">
        <w:t>Cannot be safely managed with available primary care resources.</w:t>
      </w:r>
    </w:p>
    <w:p w14:paraId="7FBE8F9B" w14:textId="77777777" w:rsidR="00072C94" w:rsidRPr="00DB6363" w:rsidRDefault="00072C94" w:rsidP="00072C94">
      <w:r w:rsidRPr="00DB6363">
        <w:t>Where specialist input is required to provide safe care, this must be </w:t>
      </w:r>
      <w:r w:rsidRPr="00DB6363">
        <w:rPr>
          <w:b/>
          <w:bCs/>
        </w:rPr>
        <w:t>accessible without unreasonable barriers</w:t>
      </w:r>
      <w:r w:rsidRPr="00DB6363">
        <w:t>.</w:t>
      </w:r>
    </w:p>
    <w:p w14:paraId="4C98299D" w14:textId="77777777" w:rsidR="00072C94" w:rsidRPr="00DB6363" w:rsidRDefault="00072C94" w:rsidP="00072C94">
      <w:r w:rsidRPr="00DB6363">
        <w:t>Patients also have the right to request referral for specialist care:</w:t>
      </w:r>
    </w:p>
    <w:p w14:paraId="705C5D48" w14:textId="3C556235" w:rsidR="00072C94" w:rsidRPr="00DB6363" w:rsidRDefault="00000000" w:rsidP="00072C94">
      <w:hyperlink r:id="rId12" w:tgtFrame="_new" w:history="1">
        <w:r w:rsidR="00072C94" w:rsidRPr="00DB6363">
          <w:rPr>
            <w:rStyle w:val="Hyperlink"/>
          </w:rPr>
          <w:t>https://www.nhs.uk/nhs-services/hospitals/referrals-for-specialist-care/</w:t>
        </w:r>
      </w:hyperlink>
    </w:p>
    <w:p w14:paraId="22739682" w14:textId="77777777" w:rsidR="00072C94" w:rsidRPr="00DB6363" w:rsidRDefault="00072C94" w:rsidP="003E704F">
      <w:pPr>
        <w:pStyle w:val="Heading1"/>
        <w:spacing w:before="100" w:beforeAutospacing="1" w:after="100" w:afterAutospacing="1"/>
      </w:pPr>
      <w:bookmarkStart w:id="21" w:name="_Toc225954444"/>
      <w:bookmarkStart w:id="22" w:name="_Toc227340242"/>
      <w:r w:rsidRPr="00DB6363">
        <w:t>Avoiding Unfunded Workload Transfer</w:t>
      </w:r>
      <w:bookmarkEnd w:id="21"/>
      <w:bookmarkEnd w:id="22"/>
    </w:p>
    <w:p w14:paraId="4761BCBD" w14:textId="77777777" w:rsidR="00072C94" w:rsidRPr="00DB6363" w:rsidRDefault="00072C94" w:rsidP="003E704F">
      <w:pPr>
        <w:spacing w:before="100" w:beforeAutospacing="1" w:after="100" w:afterAutospacing="1"/>
      </w:pPr>
      <w:r w:rsidRPr="00DB6363">
        <w:t>Advice and Guidance must not be used to transfer </w:t>
      </w:r>
      <w:r w:rsidRPr="00DB6363">
        <w:rPr>
          <w:b/>
          <w:bCs/>
        </w:rPr>
        <w:t>unfunded workload into primary care</w:t>
      </w:r>
      <w:r w:rsidRPr="00DB6363">
        <w:t>.</w:t>
      </w:r>
    </w:p>
    <w:p w14:paraId="0B926B64" w14:textId="77777777" w:rsidR="00072C94" w:rsidRPr="00DB6363" w:rsidRDefault="00072C94" w:rsidP="00072C94">
      <w:r w:rsidRPr="00DB6363">
        <w:t>Requests for:</w:t>
      </w:r>
    </w:p>
    <w:p w14:paraId="0B2E8ECF" w14:textId="77777777" w:rsidR="00072C94" w:rsidRPr="00DB6363" w:rsidRDefault="00072C94" w:rsidP="00072C94">
      <w:pPr>
        <w:numPr>
          <w:ilvl w:val="0"/>
          <w:numId w:val="19"/>
        </w:numPr>
      </w:pPr>
      <w:r w:rsidRPr="00DB6363">
        <w:t>Investigations</w:t>
      </w:r>
    </w:p>
    <w:p w14:paraId="14294683" w14:textId="77777777" w:rsidR="00072C94" w:rsidRPr="00DB6363" w:rsidRDefault="00072C94" w:rsidP="00072C94">
      <w:pPr>
        <w:numPr>
          <w:ilvl w:val="0"/>
          <w:numId w:val="19"/>
        </w:numPr>
      </w:pPr>
      <w:r w:rsidRPr="00DB6363">
        <w:t>Monitoring</w:t>
      </w:r>
    </w:p>
    <w:p w14:paraId="0E82C29F" w14:textId="77777777" w:rsidR="00072C94" w:rsidRPr="00DB6363" w:rsidRDefault="00072C94" w:rsidP="00072C94">
      <w:pPr>
        <w:numPr>
          <w:ilvl w:val="0"/>
          <w:numId w:val="19"/>
        </w:numPr>
      </w:pPr>
      <w:r w:rsidRPr="00DB6363">
        <w:t>Initiation of specialist treatments</w:t>
      </w:r>
    </w:p>
    <w:p w14:paraId="4970F5A0" w14:textId="77777777" w:rsidR="00072C94" w:rsidRPr="00DB6363" w:rsidRDefault="00072C94" w:rsidP="00072C94">
      <w:r w:rsidRPr="00DB6363">
        <w:t>should align with </w:t>
      </w:r>
      <w:r w:rsidRPr="00DB6363">
        <w:rPr>
          <w:b/>
          <w:bCs/>
        </w:rPr>
        <w:t>locally agreed commissioning arrangements</w:t>
      </w:r>
      <w:r w:rsidRPr="00DB6363">
        <w:t>.</w:t>
      </w:r>
    </w:p>
    <w:p w14:paraId="0D8BC6E2" w14:textId="77777777" w:rsidR="00072C94" w:rsidRPr="00DB6363" w:rsidRDefault="00072C94" w:rsidP="00072C94">
      <w:r w:rsidRPr="00DB6363">
        <w:lastRenderedPageBreak/>
        <w:t>Primary care should not be asked to undertake work requiring specialist expertise unless this has been </w:t>
      </w:r>
      <w:r w:rsidRPr="00DB6363">
        <w:rPr>
          <w:b/>
          <w:bCs/>
        </w:rPr>
        <w:t>formally agreed, commissioned, and appropriately resourced</w:t>
      </w:r>
      <w:r w:rsidRPr="00DB6363">
        <w:t>.</w:t>
      </w:r>
    </w:p>
    <w:p w14:paraId="1BFD6D98" w14:textId="557A6A8F" w:rsidR="00D34D62" w:rsidRPr="00D049CE" w:rsidRDefault="00072C94" w:rsidP="00072C94">
      <w:r w:rsidRPr="00DB6363">
        <w:t>LMCs should be involved where workload shifts into general practice are proposed.</w:t>
      </w:r>
    </w:p>
    <w:p w14:paraId="07D3764F" w14:textId="10D023E3" w:rsidR="00072C94" w:rsidRPr="00DB6363" w:rsidRDefault="00072C94" w:rsidP="003E704F">
      <w:pPr>
        <w:pStyle w:val="Heading1"/>
        <w:spacing w:before="100" w:beforeAutospacing="1" w:after="100" w:afterAutospacing="1"/>
      </w:pPr>
      <w:bookmarkStart w:id="23" w:name="_Toc225954445"/>
      <w:bookmarkStart w:id="24" w:name="_Toc227340243"/>
      <w:r w:rsidRPr="00DB6363">
        <w:t>Documentation and Accountability</w:t>
      </w:r>
      <w:bookmarkEnd w:id="23"/>
      <w:bookmarkEnd w:id="24"/>
    </w:p>
    <w:p w14:paraId="566E63FA" w14:textId="77777777" w:rsidR="00072C94" w:rsidRPr="00DB6363" w:rsidRDefault="00072C94" w:rsidP="003E704F">
      <w:pPr>
        <w:spacing w:before="100" w:beforeAutospacing="1" w:after="100" w:afterAutospacing="1"/>
      </w:pPr>
      <w:r w:rsidRPr="00DB6363">
        <w:t>All Advice and Guidance interactions should be </w:t>
      </w:r>
      <w:r w:rsidRPr="00DB6363">
        <w:rPr>
          <w:b/>
          <w:bCs/>
        </w:rPr>
        <w:t>clearly documented within eRS</w:t>
      </w:r>
      <w:r w:rsidRPr="00DB6363">
        <w:t>.</w:t>
      </w:r>
    </w:p>
    <w:p w14:paraId="63FE5F43" w14:textId="77777777" w:rsidR="00072C94" w:rsidRPr="00DB6363" w:rsidRDefault="00072C94" w:rsidP="00072C94">
      <w:r w:rsidRPr="00DB6363">
        <w:t>Where pathways involve shared care or A&amp;G processes, the </w:t>
      </w:r>
      <w:r w:rsidRPr="00DB6363">
        <w:rPr>
          <w:b/>
          <w:bCs/>
        </w:rPr>
        <w:t>clinical responsibility at each stage must be clearly defined</w:t>
      </w:r>
      <w:r w:rsidRPr="00DB6363">
        <w:t>.</w:t>
      </w:r>
    </w:p>
    <w:p w14:paraId="081DE121" w14:textId="1114A6A6" w:rsidR="00072C94" w:rsidRPr="00DB6363" w:rsidRDefault="00072C94" w:rsidP="00072C94">
      <w:r w:rsidRPr="00DB6363">
        <w:t>Clear documentation supports </w:t>
      </w:r>
      <w:r w:rsidRPr="00DB6363">
        <w:rPr>
          <w:b/>
          <w:bCs/>
        </w:rPr>
        <w:t>clinical safety and medico-legal accountability</w:t>
      </w:r>
      <w:r w:rsidRPr="00DB6363">
        <w:t>.</w:t>
      </w:r>
    </w:p>
    <w:p w14:paraId="7D5259C5" w14:textId="77777777" w:rsidR="00072C94" w:rsidRPr="00DB6363" w:rsidRDefault="00072C94" w:rsidP="003E704F">
      <w:pPr>
        <w:pStyle w:val="Heading1"/>
        <w:spacing w:before="100" w:beforeAutospacing="1" w:after="100" w:afterAutospacing="1"/>
      </w:pPr>
      <w:bookmarkStart w:id="25" w:name="_Toc225954446"/>
      <w:bookmarkStart w:id="26" w:name="_Toc227340244"/>
      <w:r w:rsidRPr="00DB6363">
        <w:t xml:space="preserve">Referrals via </w:t>
      </w:r>
      <w:proofErr w:type="spellStart"/>
      <w:r w:rsidRPr="00DB6363">
        <w:t>eRS</w:t>
      </w:r>
      <w:proofErr w:type="spellEnd"/>
      <w:r w:rsidRPr="00DB6363">
        <w:t xml:space="preserve"> and </w:t>
      </w:r>
      <w:proofErr w:type="spellStart"/>
      <w:r w:rsidRPr="00DB6363">
        <w:t>SPoA</w:t>
      </w:r>
      <w:bookmarkEnd w:id="25"/>
      <w:bookmarkEnd w:id="26"/>
      <w:proofErr w:type="spellEnd"/>
    </w:p>
    <w:p w14:paraId="5B4ACFE7" w14:textId="77777777" w:rsidR="00072C94" w:rsidRPr="00DB6363" w:rsidRDefault="00072C94" w:rsidP="003E704F">
      <w:pPr>
        <w:spacing w:before="100" w:beforeAutospacing="1" w:after="100" w:afterAutospacing="1"/>
      </w:pPr>
      <w:proofErr w:type="spellStart"/>
      <w:r w:rsidRPr="00DB6363">
        <w:t>SPoA</w:t>
      </w:r>
      <w:proofErr w:type="spellEnd"/>
      <w:r w:rsidRPr="00DB6363">
        <w:t xml:space="preserve"> via </w:t>
      </w:r>
      <w:proofErr w:type="spellStart"/>
      <w:r w:rsidRPr="00DB6363">
        <w:rPr>
          <w:b/>
          <w:bCs/>
        </w:rPr>
        <w:t>eRS</w:t>
      </w:r>
      <w:proofErr w:type="spellEnd"/>
      <w:r w:rsidRPr="00DB6363">
        <w:t> is expected to become the primary route for referrals in the identified specialties from </w:t>
      </w:r>
      <w:r w:rsidRPr="00DB6363">
        <w:rPr>
          <w:b/>
          <w:bCs/>
        </w:rPr>
        <w:t>October 2026</w:t>
      </w:r>
      <w:r w:rsidRPr="00DB6363">
        <w:t>.</w:t>
      </w:r>
    </w:p>
    <w:p w14:paraId="6016BC24" w14:textId="77777777" w:rsidR="00072C94" w:rsidRPr="00DB6363" w:rsidRDefault="00072C94" w:rsidP="00072C94">
      <w:r w:rsidRPr="00DB6363">
        <w:t>Where a GP requires </w:t>
      </w:r>
      <w:r w:rsidRPr="00DB6363">
        <w:rPr>
          <w:b/>
          <w:bCs/>
        </w:rPr>
        <w:t>specialist assessment rather than advice</w:t>
      </w:r>
      <w:r w:rsidRPr="00DB6363">
        <w:t>, the referral should clearly state that the request is for </w:t>
      </w:r>
      <w:r w:rsidRPr="00DB6363">
        <w:rPr>
          <w:b/>
          <w:bCs/>
        </w:rPr>
        <w:t>a specialist consultation</w:t>
      </w:r>
      <w:r w:rsidRPr="00DB6363">
        <w:t>.</w:t>
      </w:r>
    </w:p>
    <w:p w14:paraId="4244E033" w14:textId="520ACEB6" w:rsidR="00300EF7" w:rsidRPr="00DB6363" w:rsidRDefault="00072C94" w:rsidP="00072C94">
      <w:r w:rsidRPr="00DB6363">
        <w:t>If a referral requesting a consultation is returned with Advice and Guidance instead, practices may respond to clarify that the request was for </w:t>
      </w:r>
      <w:r w:rsidRPr="00DB6363">
        <w:rPr>
          <w:b/>
          <w:bCs/>
        </w:rPr>
        <w:t>a referral rather than advice</w:t>
      </w:r>
      <w:r w:rsidRPr="00DB6363">
        <w:t>.</w:t>
      </w:r>
    </w:p>
    <w:p w14:paraId="3F14D06E" w14:textId="77777777" w:rsidR="00072C94" w:rsidRPr="00DB6363" w:rsidRDefault="00072C94" w:rsidP="003E704F">
      <w:pPr>
        <w:pStyle w:val="Heading1"/>
        <w:spacing w:before="100" w:beforeAutospacing="1" w:after="100" w:afterAutospacing="1"/>
      </w:pPr>
      <w:bookmarkStart w:id="27" w:name="_Toc225954447"/>
      <w:bookmarkStart w:id="28" w:name="_Toc227340245"/>
      <w:r w:rsidRPr="00DB6363">
        <w:t>Acceptance and Rejection of Referrals</w:t>
      </w:r>
      <w:bookmarkEnd w:id="27"/>
      <w:bookmarkEnd w:id="28"/>
    </w:p>
    <w:p w14:paraId="1C8CF2B1" w14:textId="77777777" w:rsidR="00072C94" w:rsidRPr="00DB6363" w:rsidRDefault="00072C94" w:rsidP="003E704F">
      <w:pPr>
        <w:spacing w:before="100" w:beforeAutospacing="1" w:after="100" w:afterAutospacing="1"/>
      </w:pPr>
      <w:r w:rsidRPr="00DB6363">
        <w:t>The </w:t>
      </w:r>
      <w:r w:rsidRPr="00DB6363">
        <w:rPr>
          <w:b/>
          <w:bCs/>
        </w:rPr>
        <w:t>NHS Standard Contract</w:t>
      </w:r>
      <w:r w:rsidRPr="00DB6363">
        <w:t> states:</w:t>
      </w:r>
    </w:p>
    <w:p w14:paraId="664724E6" w14:textId="77777777" w:rsidR="00072C94" w:rsidRPr="00DB6363" w:rsidRDefault="00072C94" w:rsidP="00072C94">
      <w:r w:rsidRPr="00DB6363">
        <w:t>“The Provider must accept any referral of a service user made in accordance with the referral processes and clinical thresholds set out in this Contract or otherwise agreed between the parties, and where necessary to enable a service user to exercise their legal right to choice as set out in the NHS Choice Framework.”</w:t>
      </w:r>
    </w:p>
    <w:p w14:paraId="525F7906" w14:textId="77777777" w:rsidR="00072C94" w:rsidRPr="00DB6363" w:rsidRDefault="00072C94" w:rsidP="00072C94">
      <w:r w:rsidRPr="00DB6363">
        <w:t>Further information can be found here:</w:t>
      </w:r>
    </w:p>
    <w:p w14:paraId="6C021987" w14:textId="765CA143" w:rsidR="00072C94" w:rsidRPr="00DB6363" w:rsidRDefault="00000000" w:rsidP="00072C94">
      <w:hyperlink r:id="rId13" w:tgtFrame="_new" w:history="1">
        <w:r w:rsidR="00072C94" w:rsidRPr="00DB6363">
          <w:rPr>
            <w:rStyle w:val="Hyperlink"/>
          </w:rPr>
          <w:t>https://www.england.nhs.uk/nhs-standard-contract/</w:t>
        </w:r>
      </w:hyperlink>
    </w:p>
    <w:p w14:paraId="279A33B3" w14:textId="77777777" w:rsidR="00072C94" w:rsidRPr="00DB6363" w:rsidRDefault="00072C94" w:rsidP="003E704F">
      <w:pPr>
        <w:pStyle w:val="Heading1"/>
        <w:spacing w:before="100" w:beforeAutospacing="1" w:after="100" w:afterAutospacing="1"/>
      </w:pPr>
      <w:bookmarkStart w:id="29" w:name="_Toc225954448"/>
      <w:bookmarkStart w:id="30" w:name="_Toc227340246"/>
      <w:r w:rsidRPr="00DB6363">
        <w:t>Managing Rejected Referrals</w:t>
      </w:r>
      <w:bookmarkEnd w:id="29"/>
      <w:bookmarkEnd w:id="30"/>
    </w:p>
    <w:p w14:paraId="61BE23FB" w14:textId="77777777" w:rsidR="00072C94" w:rsidRPr="00DB6363" w:rsidRDefault="00072C94" w:rsidP="003E704F">
      <w:pPr>
        <w:spacing w:before="100" w:beforeAutospacing="1" w:after="100" w:afterAutospacing="1"/>
      </w:pPr>
      <w:r w:rsidRPr="00DB6363">
        <w:t>Where a referral is rejected and replaced with Advice and Guidance that:</w:t>
      </w:r>
    </w:p>
    <w:p w14:paraId="567738BC" w14:textId="77777777" w:rsidR="00072C94" w:rsidRPr="00DB6363" w:rsidRDefault="00072C94" w:rsidP="00072C94">
      <w:pPr>
        <w:numPr>
          <w:ilvl w:val="0"/>
          <w:numId w:val="20"/>
        </w:numPr>
      </w:pPr>
      <w:r w:rsidRPr="00DB6363">
        <w:t>does not resolve the clinical issue, or</w:t>
      </w:r>
    </w:p>
    <w:p w14:paraId="36C87B5C" w14:textId="77777777" w:rsidR="00072C94" w:rsidRPr="00DB6363" w:rsidRDefault="00072C94" w:rsidP="00072C94">
      <w:pPr>
        <w:numPr>
          <w:ilvl w:val="0"/>
          <w:numId w:val="20"/>
        </w:numPr>
      </w:pPr>
      <w:r w:rsidRPr="00DB6363">
        <w:t>requests additional unfunded work in primary care,</w:t>
      </w:r>
    </w:p>
    <w:p w14:paraId="443143F3" w14:textId="77777777" w:rsidR="00072C94" w:rsidRPr="00DB6363" w:rsidRDefault="00072C94" w:rsidP="00072C94">
      <w:r w:rsidRPr="00DB6363">
        <w:t>GPCE recommends that practices </w:t>
      </w:r>
      <w:r w:rsidRPr="00DB6363">
        <w:rPr>
          <w:b/>
          <w:bCs/>
        </w:rPr>
        <w:t>formally respond to the provider</w:t>
      </w:r>
      <w:r w:rsidRPr="00DB6363">
        <w:t>.</w:t>
      </w:r>
    </w:p>
    <w:p w14:paraId="31089EB7" w14:textId="77777777" w:rsidR="00072C94" w:rsidRPr="00DB6363" w:rsidRDefault="00072C94" w:rsidP="00072C94">
      <w:r w:rsidRPr="00DB6363">
        <w:lastRenderedPageBreak/>
        <w:t>A copy of this correspondence should be </w:t>
      </w:r>
      <w:r w:rsidRPr="00DB6363">
        <w:rPr>
          <w:b/>
          <w:bCs/>
        </w:rPr>
        <w:t>saved within the patient’s medical record</w:t>
      </w:r>
      <w:r w:rsidRPr="00DB6363">
        <w:t>, ensuring transparency and allowing the patient to view it via the </w:t>
      </w:r>
      <w:r w:rsidRPr="00DB6363">
        <w:rPr>
          <w:b/>
          <w:bCs/>
        </w:rPr>
        <w:t>NHS App</w:t>
      </w:r>
      <w:r w:rsidRPr="00DB6363">
        <w:t>.</w:t>
      </w:r>
    </w:p>
    <w:p w14:paraId="32BD995D" w14:textId="77777777" w:rsidR="00072C94" w:rsidRPr="00DB6363" w:rsidRDefault="00072C94" w:rsidP="00072C94">
      <w:r w:rsidRPr="00DB6363">
        <w:t>This may also support patients who choose to raise concerns with their </w:t>
      </w:r>
      <w:r w:rsidRPr="00DB6363">
        <w:rPr>
          <w:b/>
          <w:bCs/>
        </w:rPr>
        <w:t>ICB, NHS England, or their Member of Parliament</w:t>
      </w:r>
      <w:r w:rsidRPr="00DB6363">
        <w:t>.</w:t>
      </w:r>
    </w:p>
    <w:p w14:paraId="2EB1582F" w14:textId="0D8C58FE" w:rsidR="00072C94" w:rsidRPr="00DB6363" w:rsidRDefault="00072C94" w:rsidP="00072C94"/>
    <w:p w14:paraId="298EBA99" w14:textId="77777777" w:rsidR="00B433E1" w:rsidRDefault="00B433E1">
      <w:pPr>
        <w:rPr>
          <w:b/>
          <w:bCs/>
        </w:rPr>
      </w:pPr>
      <w:r>
        <w:rPr>
          <w:b/>
          <w:bCs/>
        </w:rPr>
        <w:br w:type="page"/>
      </w:r>
    </w:p>
    <w:p w14:paraId="6490BCEB" w14:textId="42EEF78A" w:rsidR="00072C94" w:rsidRPr="00DB6363" w:rsidRDefault="00072C94" w:rsidP="00B433E1">
      <w:pPr>
        <w:pStyle w:val="Heading1"/>
      </w:pPr>
      <w:bookmarkStart w:id="31" w:name="_Toc225954449"/>
      <w:bookmarkStart w:id="32" w:name="_Toc227340247"/>
      <w:r w:rsidRPr="00DB6363">
        <w:lastRenderedPageBreak/>
        <w:t>Template Letter</w:t>
      </w:r>
      <w:r w:rsidR="003E0BB4">
        <w:t>:</w:t>
      </w:r>
      <w:r w:rsidRPr="00DB6363">
        <w:t xml:space="preserve"> Referral Returned as Advice and Guidance</w:t>
      </w:r>
      <w:bookmarkEnd w:id="31"/>
      <w:bookmarkEnd w:id="32"/>
    </w:p>
    <w:p w14:paraId="1FAC65E7" w14:textId="77777777" w:rsidR="00072C94" w:rsidRPr="00DB6363" w:rsidRDefault="00072C94" w:rsidP="00072C94"/>
    <w:p w14:paraId="0B58569A" w14:textId="10346904" w:rsidR="00072C94" w:rsidRPr="00DB6363" w:rsidRDefault="755A0153" w:rsidP="00072C94">
      <w:r>
        <w:t>Practice letterhead</w:t>
      </w:r>
    </w:p>
    <w:p w14:paraId="2DA84BC3" w14:textId="243E1E43" w:rsidR="00072C94" w:rsidRPr="00DB6363" w:rsidRDefault="00072C94" w:rsidP="00072C94">
      <w:r>
        <w:t>Date</w:t>
      </w:r>
      <w:r>
        <w:tab/>
      </w:r>
    </w:p>
    <w:p w14:paraId="7773952C" w14:textId="1F5B1DBA" w:rsidR="00072C94" w:rsidRPr="00DB6363" w:rsidRDefault="00072C94" w:rsidP="00072C94">
      <w:r>
        <w:t>Trust Name</w:t>
      </w:r>
      <w:r w:rsidR="4C976C47">
        <w:t xml:space="preserve"> and Address</w:t>
      </w:r>
      <w:r>
        <w:tab/>
      </w:r>
      <w:r>
        <w:tab/>
      </w:r>
      <w:r>
        <w:tab/>
      </w:r>
      <w:r>
        <w:tab/>
      </w:r>
      <w:r>
        <w:tab/>
      </w:r>
      <w:r>
        <w:tab/>
      </w:r>
      <w:r>
        <w:tab/>
      </w:r>
    </w:p>
    <w:p w14:paraId="282EB897" w14:textId="2A4BB784" w:rsidR="00072C94" w:rsidRPr="00DB6363" w:rsidRDefault="00072C94" w:rsidP="00072C94">
      <w:r>
        <w:t>Cc: Trust Medical</w:t>
      </w:r>
      <w:r w:rsidR="37B1C68C">
        <w:t xml:space="preserve"> </w:t>
      </w:r>
      <w:r>
        <w:t>Director</w:t>
      </w:r>
    </w:p>
    <w:p w14:paraId="236C3939" w14:textId="77777777" w:rsidR="00072C94" w:rsidRPr="00DB6363" w:rsidRDefault="00072C94" w:rsidP="00072C94">
      <w:r w:rsidRPr="00DB6363">
        <w:t>Patient Name</w:t>
      </w:r>
      <w:r w:rsidRPr="00DB6363">
        <w:br/>
        <w:t>Date of Birth</w:t>
      </w:r>
      <w:r w:rsidRPr="00DB6363">
        <w:br/>
        <w:t>NHS Number</w:t>
      </w:r>
      <w:r w:rsidRPr="00DB6363">
        <w:br/>
        <w:t>Patient Address</w:t>
      </w:r>
    </w:p>
    <w:p w14:paraId="09DBF44F" w14:textId="77777777" w:rsidR="00072C94" w:rsidRPr="00DB6363" w:rsidRDefault="00072C94" w:rsidP="00072C94">
      <w:r w:rsidRPr="00DB6363">
        <w:rPr>
          <w:b/>
          <w:bCs/>
        </w:rPr>
        <w:t>Re: Referral Returned with Advice and Guidance</w:t>
      </w:r>
    </w:p>
    <w:p w14:paraId="47416423" w14:textId="0B63106D" w:rsidR="00072C94" w:rsidRPr="00DB6363" w:rsidRDefault="00072C94" w:rsidP="00072C94">
      <w:r>
        <w:t xml:space="preserve">We have been advised that our recent referral for the above patient has been returned with Advice and Guidance </w:t>
      </w:r>
      <w:r w:rsidR="6F56C4BB">
        <w:t>which</w:t>
      </w:r>
      <w:r>
        <w:t xml:space="preserve"> we did not request. This appears to fall outside locally agreed commissioned pathways and may be inconsistent with </w:t>
      </w:r>
      <w:r w:rsidRPr="741C96BA">
        <w:rPr>
          <w:b/>
          <w:bCs/>
        </w:rPr>
        <w:t>Jess’s Rule</w:t>
      </w:r>
      <w:r>
        <w:t>, which encourages clinicians to reconsider diagnoses and, where clinically appropriate, seek specialist input when symptoms persist or remain unexplained</w:t>
      </w:r>
      <w:r w:rsidR="1D629E4E">
        <w:t xml:space="preserve">: </w:t>
      </w:r>
      <w:hyperlink r:id="rId14">
        <w:r w:rsidRPr="741C96BA">
          <w:rPr>
            <w:rStyle w:val="Hyperlink"/>
          </w:rPr>
          <w:t>https://www.gmc-uk.org/news/news-archive/jesss-rule-cancer-diagnosis</w:t>
        </w:r>
      </w:hyperlink>
    </w:p>
    <w:p w14:paraId="0D74A30F" w14:textId="34797A7A" w:rsidR="00072C94" w:rsidRPr="00DB6363" w:rsidRDefault="00072C94" w:rsidP="741C96BA">
      <w:r>
        <w:t>Having reviewed the referral and reflected on our contractual and professional obligations, we remain satisfied that this referral is </w:t>
      </w:r>
      <w:r w:rsidRPr="741C96BA">
        <w:rPr>
          <w:b/>
          <w:bCs/>
        </w:rPr>
        <w:t>clinically appropriate</w:t>
      </w:r>
      <w:r>
        <w:t>.</w:t>
      </w:r>
      <w:r w:rsidR="355C2BA5">
        <w:t xml:space="preserve"> </w:t>
      </w:r>
      <w:r>
        <w:t>The referral letter provides the necessary information to ensure safe transfer of care and is consistent with</w:t>
      </w:r>
      <w:r w:rsidR="7603D3F1">
        <w:t xml:space="preserve"> t</w:t>
      </w:r>
      <w:r>
        <w:t>he NHS Standard Contract – Service Conditions: Acceptance and Rejection of Referrals</w:t>
      </w:r>
      <w:r w:rsidR="0EF8DEB0">
        <w:t>; our</w:t>
      </w:r>
      <w:r>
        <w:t> Primary Medical Services Contract</w:t>
      </w:r>
      <w:r w:rsidR="07A4C750">
        <w:t xml:space="preserve">; and </w:t>
      </w:r>
      <w:r>
        <w:t>GMC guidance, which requires doctors to refer when clinically necessary</w:t>
      </w:r>
    </w:p>
    <w:p w14:paraId="028704C8" w14:textId="7A76EF2E" w:rsidR="00072C94" w:rsidRPr="00DB6363" w:rsidRDefault="00072C94" w:rsidP="00072C94">
      <w:r>
        <w:t>We remain committed to putting the needs of our patients first, using NHS resources responsibly, and working collaboratively across our local Integrated Care System.</w:t>
      </w:r>
      <w:r w:rsidR="418D7339">
        <w:t xml:space="preserve"> </w:t>
      </w:r>
      <w:r>
        <w:t>We would encourage your Trust Medical Directorate to discuss the use of Advice and Guidance and SPoA pathways with our Local Medical Committee.</w:t>
      </w:r>
      <w:r w:rsidR="3B868E9A">
        <w:t xml:space="preserve"> </w:t>
      </w:r>
      <w:r>
        <w:t xml:space="preserve">In the meantime, we would request that </w:t>
      </w:r>
      <w:r w:rsidR="084843DB">
        <w:t>our</w:t>
      </w:r>
      <w:r>
        <w:t xml:space="preserve"> patient is provided with an outpatient appointment without delay. Failure to do so may lead to delays in care and potential harm</w:t>
      </w:r>
      <w:r w:rsidR="1310745D">
        <w:t xml:space="preserve"> which we wish to avoid.</w:t>
      </w:r>
    </w:p>
    <w:p w14:paraId="10CF2455" w14:textId="77777777" w:rsidR="00072C94" w:rsidRPr="00DB6363" w:rsidRDefault="00072C94" w:rsidP="00072C94">
      <w:r>
        <w:t>Yours sincerely,</w:t>
      </w:r>
    </w:p>
    <w:p w14:paraId="1CC58392" w14:textId="4A0E42C1" w:rsidR="741C96BA" w:rsidRDefault="741C96BA"/>
    <w:p w14:paraId="4B7D6FEA" w14:textId="459295A2" w:rsidR="00072C94" w:rsidRPr="00DB6363" w:rsidRDefault="00072C94" w:rsidP="00072C94">
      <w:r>
        <w:t>GP Name</w:t>
      </w:r>
      <w:r>
        <w:br/>
      </w:r>
    </w:p>
    <w:p w14:paraId="0DA79AD2" w14:textId="2BAF7658" w:rsidR="00074767" w:rsidRDefault="00074767">
      <w:pPr>
        <w:rPr>
          <w:b/>
        </w:rPr>
      </w:pPr>
      <w:r>
        <w:rPr>
          <w:b/>
        </w:rPr>
        <w:br w:type="page"/>
      </w:r>
    </w:p>
    <w:p w14:paraId="5266F793" w14:textId="39145753" w:rsidR="00A66358" w:rsidRDefault="00074767" w:rsidP="009321E6">
      <w:pPr>
        <w:pStyle w:val="Heading1"/>
      </w:pPr>
      <w:bookmarkStart w:id="33" w:name="_Toc225954450"/>
      <w:bookmarkStart w:id="34" w:name="_Toc227340248"/>
      <w:r>
        <w:lastRenderedPageBreak/>
        <w:t xml:space="preserve">Template </w:t>
      </w:r>
      <w:r w:rsidR="00401DB8">
        <w:t>L</w:t>
      </w:r>
      <w:r>
        <w:t>etter</w:t>
      </w:r>
      <w:r w:rsidR="548A2575">
        <w:t xml:space="preserve"> for LMCs</w:t>
      </w:r>
      <w:r>
        <w:t xml:space="preserve">: </w:t>
      </w:r>
      <w:r w:rsidR="00A66358">
        <w:t xml:space="preserve">A&amp;G and </w:t>
      </w:r>
      <w:proofErr w:type="spellStart"/>
      <w:r w:rsidR="00A66358">
        <w:t>SPoA</w:t>
      </w:r>
      <w:proofErr w:type="spellEnd"/>
      <w:r w:rsidR="00A66358">
        <w:t xml:space="preserve"> — Patient Safety, Clinical Accountability and System Risk</w:t>
      </w:r>
      <w:bookmarkEnd w:id="33"/>
      <w:bookmarkEnd w:id="34"/>
    </w:p>
    <w:p w14:paraId="465634FF" w14:textId="533496B2" w:rsidR="00074767" w:rsidRDefault="00074767" w:rsidP="00074767">
      <w:pPr>
        <w:rPr>
          <w:sz w:val="22"/>
        </w:rPr>
      </w:pPr>
    </w:p>
    <w:p w14:paraId="39EF7FF5" w14:textId="1E5078BF" w:rsidR="7CDDF2C2" w:rsidRDefault="7CDDF2C2" w:rsidP="741C96BA">
      <w:pPr>
        <w:rPr>
          <w:b/>
          <w:bCs/>
        </w:rPr>
      </w:pPr>
      <w:r w:rsidRPr="741C96BA">
        <w:rPr>
          <w:sz w:val="22"/>
          <w:szCs w:val="22"/>
        </w:rPr>
        <w:t>LMC Letterhead</w:t>
      </w:r>
    </w:p>
    <w:p w14:paraId="15046C27" w14:textId="264B81FB" w:rsidR="741C96BA" w:rsidRDefault="741C96BA" w:rsidP="741C96BA">
      <w:pPr>
        <w:rPr>
          <w:b/>
          <w:bCs/>
          <w:sz w:val="22"/>
          <w:szCs w:val="22"/>
        </w:rPr>
      </w:pPr>
    </w:p>
    <w:p w14:paraId="740A2B2F" w14:textId="75CAE00B" w:rsidR="7CDDF2C2" w:rsidRDefault="7CDDF2C2" w:rsidP="741C96BA">
      <w:pPr>
        <w:rPr>
          <w:b/>
          <w:bCs/>
        </w:rPr>
      </w:pPr>
      <w:r w:rsidRPr="741C96BA">
        <w:rPr>
          <w:sz w:val="22"/>
          <w:szCs w:val="22"/>
        </w:rPr>
        <w:t>Date</w:t>
      </w:r>
    </w:p>
    <w:p w14:paraId="1F8FE301" w14:textId="67E0E252" w:rsidR="7CDDF2C2" w:rsidRDefault="7CDDF2C2">
      <w:r w:rsidRPr="741C96BA">
        <w:rPr>
          <w:sz w:val="22"/>
          <w:szCs w:val="22"/>
        </w:rPr>
        <w:t>Dear [ICB Chief Executive / Acute Trust Medical Director],</w:t>
      </w:r>
    </w:p>
    <w:p w14:paraId="2E0B5771" w14:textId="431800B5" w:rsidR="741C96BA" w:rsidRDefault="741C96BA" w:rsidP="741C96BA">
      <w:pPr>
        <w:rPr>
          <w:sz w:val="22"/>
          <w:szCs w:val="22"/>
        </w:rPr>
      </w:pPr>
    </w:p>
    <w:p w14:paraId="0206BA70" w14:textId="0A10B636" w:rsidR="00074767" w:rsidRDefault="00074767" w:rsidP="741C96BA">
      <w:pPr>
        <w:rPr>
          <w:b/>
          <w:bCs/>
        </w:rPr>
      </w:pPr>
      <w:r w:rsidRPr="741C96BA">
        <w:rPr>
          <w:b/>
          <w:bCs/>
          <w:sz w:val="22"/>
          <w:szCs w:val="22"/>
        </w:rPr>
        <w:t>Re: Advice &amp; Guidance (A&amp;G) and Single Point of Access (SPoA) — Patient Safety, Clinical Accountability and System Risk</w:t>
      </w:r>
    </w:p>
    <w:p w14:paraId="0F1D6A49" w14:textId="77777777" w:rsidR="00074767" w:rsidRDefault="00074767" w:rsidP="00074767">
      <w:r>
        <w:rPr>
          <w:sz w:val="22"/>
        </w:rPr>
        <w:t>We are writing on behalf of GP colleagues to raise significant concerns regarding the implementation and proposed mandating of Advice and Guidance (A&amp;G) and Single Point of Access (</w:t>
      </w:r>
      <w:proofErr w:type="spellStart"/>
      <w:r>
        <w:rPr>
          <w:sz w:val="22"/>
        </w:rPr>
        <w:t>SPoA</w:t>
      </w:r>
      <w:proofErr w:type="spellEnd"/>
      <w:r>
        <w:rPr>
          <w:sz w:val="22"/>
        </w:rPr>
        <w:t>) within referral pathways.</w:t>
      </w:r>
    </w:p>
    <w:p w14:paraId="76831CED" w14:textId="77777777" w:rsidR="00074767" w:rsidRDefault="00074767" w:rsidP="00074767">
      <w:r>
        <w:rPr>
          <w:sz w:val="22"/>
        </w:rPr>
        <w:t>We recognise that A&amp;G, when used appropriately, voluntarily, and with adequate resource, can support patient care. However, current implementation — particularly where A&amp;G is mandated or used as a gatekeeping mechanism — introduces systemic risks to patient safety, clinical accountability, and access to care. These risks are not incidental or implementation-dependent; they arise from the design of a mandatory model itself.</w:t>
      </w:r>
    </w:p>
    <w:p w14:paraId="1EF9A8F6" w14:textId="77777777" w:rsidR="00074767" w:rsidRDefault="00074767" w:rsidP="00074767">
      <w:r>
        <w:rPr>
          <w:sz w:val="22"/>
        </w:rPr>
        <w:t xml:space="preserve">GPs are independent clinical decision-makers and retain a professional duty to refer patients for specialist assessment where this is clinically appropriate. This is supported by GMC Good Medical Practice and the NHS Constitution. Advice and Guidance systems, including </w:t>
      </w:r>
      <w:proofErr w:type="spellStart"/>
      <w:r>
        <w:rPr>
          <w:sz w:val="22"/>
        </w:rPr>
        <w:t>SPoA</w:t>
      </w:r>
      <w:proofErr w:type="spellEnd"/>
      <w:r>
        <w:rPr>
          <w:sz w:val="22"/>
        </w:rPr>
        <w:t xml:space="preserve"> models, must therefore support clinical decision-making rather than obstruct or delay referral. While </w:t>
      </w:r>
      <w:proofErr w:type="spellStart"/>
      <w:r>
        <w:rPr>
          <w:sz w:val="22"/>
        </w:rPr>
        <w:t>SPoA</w:t>
      </w:r>
      <w:proofErr w:type="spellEnd"/>
      <w:r>
        <w:rPr>
          <w:sz w:val="22"/>
        </w:rPr>
        <w:t xml:space="preserve"> may provide a single access route into services, it does not override the GP’s decision to refer.</w:t>
      </w:r>
    </w:p>
    <w:p w14:paraId="6AD39864" w14:textId="1AB25A1A" w:rsidR="00074767" w:rsidRDefault="00074767" w:rsidP="00074767">
      <w:r>
        <w:rPr>
          <w:sz w:val="22"/>
        </w:rPr>
        <w:t>Mandatory A&amp;G introduces additional steps into referral pathways, creating a foreseeable risk of delayed diagnosis and treatment. Patients with serious or evolving pathology may be redirected back to general practice based on remote advice, without specialist assessment or access to the full clinical picture. This creates fragmented, multi-step pathways in which patients may be lost</w:t>
      </w:r>
      <w:r w:rsidR="008E6D24">
        <w:rPr>
          <w:sz w:val="22"/>
        </w:rPr>
        <w:t>`</w:t>
      </w:r>
      <w:r>
        <w:rPr>
          <w:sz w:val="22"/>
        </w:rPr>
        <w:t xml:space="preserve"> to follow-up. General practice does not have the administrative capacity to safely manage this increased complexity at scale, increasing the risk that serious conditions are identified later than they should be.</w:t>
      </w:r>
    </w:p>
    <w:p w14:paraId="528A28EA" w14:textId="77777777" w:rsidR="00074767" w:rsidRDefault="00074767" w:rsidP="00074767">
      <w:r>
        <w:rPr>
          <w:sz w:val="22"/>
        </w:rPr>
        <w:t>At the same time, mandatory A&amp;G transfers significant clinical and administrative responsibility into general practice without equivalent resourcing or accountability. Where a GP acts on remote specialist advice and harm occurs, liability appears to rest with the GP rather than the specialist who has provided advice without direct patient assessment. This creates a clear imbalance in risk. More fundamentally, this model risks placing GPs in conflict with GMC Good Medical Practice, which requires clinicians to work within the limits of their competence. Where advice requires actions beyond a GP’s scope or available resources, and where no alternative referral route is available, safe and compliant practice cannot be assured. In a voluntary system, GPs retain discretion to accept, challenge, or bypass advice where necessary. Mandatory A&amp;G removes that discretion.</w:t>
      </w:r>
    </w:p>
    <w:p w14:paraId="19508B20" w14:textId="77777777" w:rsidR="00074767" w:rsidRDefault="00074767" w:rsidP="00074767">
      <w:r>
        <w:rPr>
          <w:sz w:val="22"/>
        </w:rPr>
        <w:t xml:space="preserve">There is also a significant impact on patient access to general practice. Each A&amp;G interaction generates further clinical review, administrative processing, patient communication, and follow-up. This work directly competes with core GP activity and is not resourced. In practice, this leads to reduced </w:t>
      </w:r>
      <w:r>
        <w:rPr>
          <w:sz w:val="22"/>
        </w:rPr>
        <w:lastRenderedPageBreak/>
        <w:t>availability of GP appointments, including for patients with urgent needs. Waiting times are not eliminated but displaced from secondary care into general practice, where there is insufficient capacity to absorb them.</w:t>
      </w:r>
    </w:p>
    <w:p w14:paraId="41F6169A" w14:textId="77777777" w:rsidR="00074767" w:rsidRDefault="00074767" w:rsidP="00074767">
      <w:r>
        <w:rPr>
          <w:sz w:val="22"/>
        </w:rPr>
        <w:t>We are already aware of cases where A&amp;G has been used as the only route for referral, with concerning outcomes. In one anonymised case, a patient referred urgently under a suspected cancer pathway had their referral repeatedly downgraded to Advice and Guidance. Despite persistent symptoms and repeated GP concern, specialist assessment was delayed until a third referral. Cancer was subsequently diagnosed more than nine months after the initial referral. Throughout this period, the patient was not examined by a specialist. This case illustrates that the risks described above are not theoretical.</w:t>
      </w:r>
    </w:p>
    <w:p w14:paraId="18CDF2D5" w14:textId="77777777" w:rsidR="00074767" w:rsidRDefault="00074767" w:rsidP="00074767">
      <w:r>
        <w:rPr>
          <w:sz w:val="22"/>
        </w:rPr>
        <w:t>This is particularly concerning in the context of Jess’s Rule, which emphasises the need to reconsider diagnoses and escalate care where patients present repeatedly with unresolved or unexplained symptoms. Systems that delay or obstruct referral in these circumstances run counter to this principle and introduce a clear and avoidable patient safety risk.</w:t>
      </w:r>
    </w:p>
    <w:p w14:paraId="2FE98389" w14:textId="77777777" w:rsidR="00074767" w:rsidRDefault="00074767" w:rsidP="00074767">
      <w:r>
        <w:rPr>
          <w:sz w:val="22"/>
        </w:rPr>
        <w:t>Advice and Guidance can be a valuable clinical tool when used appropriately. However, it must not be used to delay appropriate referrals, deflect referrals inappropriately, or prevent patients from accessing specialist assessment where clinically required. It must also not be used to transfer unfunded workload into general practice. Requests for investigations, monitoring, or initiation of specialist treatments must align with agreed commissioning arrangements and appropriate resourcing.</w:t>
      </w:r>
    </w:p>
    <w:p w14:paraId="2B185196" w14:textId="4D58DDA1" w:rsidR="00074767" w:rsidRDefault="00074767" w:rsidP="00074767">
      <w:r>
        <w:rPr>
          <w:sz w:val="22"/>
        </w:rPr>
        <w:t>There are also clear contractual and governance concerns. While secondary care providers are required to offer A&amp;G, there are no mandated standards regarding response times, quality, or accountability for advice provided without patient assessment. By contrast, GP practices are expected to use A&amp;G, creating a clear asymmetry. The burden of clinical responsibility, administrative workload, and medicolegal risk falls disproportionately on general practice. We would welcome written clarification as to whether GPs retain the right to refer directly where clinically indicated, and under what circumstances this may be overridden.</w:t>
      </w:r>
    </w:p>
    <w:p w14:paraId="5EFEC17B" w14:textId="77777777" w:rsidR="00074767" w:rsidRDefault="00074767" w:rsidP="00074767">
      <w:r>
        <w:rPr>
          <w:b/>
          <w:sz w:val="22"/>
        </w:rPr>
        <w:t>Our position is clear.</w:t>
      </w:r>
    </w:p>
    <w:p w14:paraId="448DED65" w14:textId="5DFDD68C" w:rsidR="00074767" w:rsidRDefault="00074767" w:rsidP="00074767">
      <w:r>
        <w:rPr>
          <w:sz w:val="22"/>
        </w:rPr>
        <w:t>We support A&amp;G where it is voluntary, clinically appropriate, and delivered within a well-governed and properly resourced system. We cannot support mandatory A&amp;G pathways that override clinical judgement, delay access to specialist care, or transfer risk and workload without appropriate accountability and commissioning.</w:t>
      </w:r>
    </w:p>
    <w:p w14:paraId="13D90ABE" w14:textId="77777777" w:rsidR="00074767" w:rsidRDefault="00074767" w:rsidP="00074767">
      <w:r>
        <w:rPr>
          <w:b/>
          <w:sz w:val="22"/>
        </w:rPr>
        <w:t>We therefore ask the ICB to:</w:t>
      </w:r>
    </w:p>
    <w:p w14:paraId="087DE6B4" w14:textId="42447267" w:rsidR="00074767" w:rsidRDefault="00074767" w:rsidP="00D049CE">
      <w:pPr>
        <w:pStyle w:val="ListParagraph"/>
        <w:numPr>
          <w:ilvl w:val="0"/>
          <w:numId w:val="22"/>
        </w:numPr>
      </w:pPr>
      <w:r w:rsidRPr="00D049CE">
        <w:rPr>
          <w:sz w:val="22"/>
        </w:rPr>
        <w:t>Confirm in writing that GPs retain the right to refer directly where clinically indicated</w:t>
      </w:r>
    </w:p>
    <w:p w14:paraId="61084C66" w14:textId="41BE7132" w:rsidR="00074767" w:rsidRDefault="00074767" w:rsidP="00D049CE">
      <w:pPr>
        <w:pStyle w:val="ListParagraph"/>
        <w:numPr>
          <w:ilvl w:val="0"/>
          <w:numId w:val="22"/>
        </w:numPr>
      </w:pPr>
      <w:r w:rsidRPr="741C96BA">
        <w:rPr>
          <w:sz w:val="22"/>
          <w:szCs w:val="22"/>
        </w:rPr>
        <w:t>Define clinical accountability for advice provided through A&amp;G</w:t>
      </w:r>
      <w:r w:rsidR="0F089096" w:rsidRPr="741C96BA">
        <w:rPr>
          <w:sz w:val="22"/>
          <w:szCs w:val="22"/>
        </w:rPr>
        <w:t xml:space="preserve"> locally</w:t>
      </w:r>
    </w:p>
    <w:p w14:paraId="1667CA10" w14:textId="35D2487E" w:rsidR="00074767" w:rsidRDefault="0F089096" w:rsidP="00D049CE">
      <w:pPr>
        <w:pStyle w:val="ListParagraph"/>
        <w:numPr>
          <w:ilvl w:val="0"/>
          <w:numId w:val="22"/>
        </w:numPr>
      </w:pPr>
      <w:r w:rsidRPr="741C96BA">
        <w:rPr>
          <w:sz w:val="22"/>
          <w:szCs w:val="22"/>
        </w:rPr>
        <w:t>Work with us to e</w:t>
      </w:r>
      <w:r w:rsidR="00074767" w:rsidRPr="741C96BA">
        <w:rPr>
          <w:sz w:val="22"/>
          <w:szCs w:val="22"/>
        </w:rPr>
        <w:t>stablish minimum standards for A&amp;G services, including response times and quality</w:t>
      </w:r>
    </w:p>
    <w:p w14:paraId="26BF7598" w14:textId="5E1B3DCB" w:rsidR="00074767" w:rsidRDefault="00074767" w:rsidP="00D049CE">
      <w:pPr>
        <w:pStyle w:val="ListParagraph"/>
        <w:numPr>
          <w:ilvl w:val="0"/>
          <w:numId w:val="22"/>
        </w:numPr>
      </w:pPr>
      <w:r w:rsidRPr="00D049CE">
        <w:rPr>
          <w:sz w:val="22"/>
        </w:rPr>
        <w:t>Assess and appropriately resource the workload impact on general practice</w:t>
      </w:r>
    </w:p>
    <w:p w14:paraId="1A0F2163" w14:textId="38E0B00A" w:rsidR="00074767" w:rsidRDefault="00074767" w:rsidP="00D049CE">
      <w:pPr>
        <w:pStyle w:val="ListParagraph"/>
        <w:numPr>
          <w:ilvl w:val="0"/>
          <w:numId w:val="22"/>
        </w:numPr>
      </w:pPr>
      <w:r w:rsidRPr="741C96BA">
        <w:rPr>
          <w:sz w:val="22"/>
          <w:szCs w:val="22"/>
        </w:rPr>
        <w:t xml:space="preserve">Ensure LMC involvement in </w:t>
      </w:r>
      <w:r w:rsidR="3E196B4A" w:rsidRPr="741C96BA">
        <w:rPr>
          <w:sz w:val="22"/>
          <w:szCs w:val="22"/>
        </w:rPr>
        <w:t xml:space="preserve">any prospective </w:t>
      </w:r>
      <w:r w:rsidRPr="741C96BA">
        <w:rPr>
          <w:sz w:val="22"/>
          <w:szCs w:val="22"/>
        </w:rPr>
        <w:t xml:space="preserve">pathway </w:t>
      </w:r>
      <w:r w:rsidR="457ACB79" w:rsidRPr="741C96BA">
        <w:rPr>
          <w:sz w:val="22"/>
          <w:szCs w:val="22"/>
        </w:rPr>
        <w:t>re</w:t>
      </w:r>
      <w:r w:rsidRPr="741C96BA">
        <w:rPr>
          <w:sz w:val="22"/>
          <w:szCs w:val="22"/>
        </w:rPr>
        <w:t>design and implementation</w:t>
      </w:r>
    </w:p>
    <w:p w14:paraId="4B92A4A3" w14:textId="76BF7BC6" w:rsidR="00074767" w:rsidRDefault="00074767" w:rsidP="741C96BA">
      <w:pPr>
        <w:pStyle w:val="ListParagraph"/>
        <w:numPr>
          <w:ilvl w:val="0"/>
          <w:numId w:val="22"/>
        </w:numPr>
        <w:rPr>
          <w:sz w:val="22"/>
          <w:szCs w:val="22"/>
        </w:rPr>
      </w:pPr>
      <w:r w:rsidRPr="741C96BA">
        <w:rPr>
          <w:sz w:val="22"/>
          <w:szCs w:val="22"/>
        </w:rPr>
        <w:t xml:space="preserve">Escalate </w:t>
      </w:r>
      <w:r w:rsidR="78286355" w:rsidRPr="741C96BA">
        <w:rPr>
          <w:sz w:val="22"/>
          <w:szCs w:val="22"/>
        </w:rPr>
        <w:t>any</w:t>
      </w:r>
      <w:r w:rsidRPr="741C96BA">
        <w:rPr>
          <w:sz w:val="22"/>
          <w:szCs w:val="22"/>
        </w:rPr>
        <w:t xml:space="preserve"> concerns to NHS England patient safety structures</w:t>
      </w:r>
    </w:p>
    <w:p w14:paraId="53C2CC11" w14:textId="77777777" w:rsidR="00074767" w:rsidRDefault="00074767" w:rsidP="00074767">
      <w:r>
        <w:rPr>
          <w:sz w:val="22"/>
        </w:rPr>
        <w:t>Safe patient care depends on timely access to specialist assessment, clear lines of responsibility, and systems that support — rather than obstruct — clinical judgement.</w:t>
      </w:r>
    </w:p>
    <w:p w14:paraId="03FB26BD" w14:textId="7DBDDDB7" w:rsidR="00074767" w:rsidRDefault="00074767" w:rsidP="00074767">
      <w:r>
        <w:rPr>
          <w:sz w:val="22"/>
        </w:rPr>
        <w:lastRenderedPageBreak/>
        <w:t>We remain committed to working collaboratively to ensure referral pathways are safe, sustainable, and clinically accountable, and we would welcome early engagement on how these risks will be addressed.</w:t>
      </w:r>
    </w:p>
    <w:p w14:paraId="5509CA65" w14:textId="77777777" w:rsidR="00074767" w:rsidRDefault="00074767" w:rsidP="00074767">
      <w:r>
        <w:rPr>
          <w:sz w:val="22"/>
        </w:rPr>
        <w:t>Yours sincerely,</w:t>
      </w:r>
    </w:p>
    <w:p w14:paraId="73A66532" w14:textId="77777777" w:rsidR="00074767" w:rsidRDefault="00074767" w:rsidP="00074767"/>
    <w:p w14:paraId="4F7FFDDA" w14:textId="522600AE" w:rsidR="00C5180A" w:rsidRPr="00C833F9" w:rsidRDefault="2D862B2E" w:rsidP="00C5180A">
      <w:r>
        <w:t>On behalf of &lt;insert LMC&gt;</w:t>
      </w:r>
    </w:p>
    <w:p w14:paraId="42705981" w14:textId="39C152AF" w:rsidR="0D6F3D41" w:rsidRDefault="0D6F3D41"/>
    <w:p w14:paraId="64B53C7F" w14:textId="77777777" w:rsidR="006813E8" w:rsidRDefault="006813E8" w:rsidP="00C5180A">
      <w:pPr>
        <w:sectPr w:rsidR="006813E8" w:rsidSect="00B8006E">
          <w:headerReference w:type="even" r:id="rId15"/>
          <w:headerReference w:type="default" r:id="rId16"/>
          <w:footerReference w:type="even" r:id="rId17"/>
          <w:footerReference w:type="default" r:id="rId18"/>
          <w:headerReference w:type="first" r:id="rId19"/>
          <w:footerReference w:type="first" r:id="rId20"/>
          <w:pgSz w:w="11900" w:h="16840"/>
          <w:pgMar w:top="1701" w:right="1268" w:bottom="1418" w:left="1418" w:header="284" w:footer="284" w:gutter="0"/>
          <w:cols w:space="708"/>
          <w:titlePg/>
        </w:sectPr>
      </w:pPr>
    </w:p>
    <w:p w14:paraId="5CB5AFD8" w14:textId="77777777" w:rsidR="006813E8" w:rsidRPr="00451B14" w:rsidRDefault="006813E8" w:rsidP="006813E8">
      <w:pPr>
        <w:rPr>
          <w:sz w:val="22"/>
          <w:szCs w:val="22"/>
        </w:rPr>
      </w:pPr>
      <w:r w:rsidRPr="00451B14">
        <w:rPr>
          <w:b/>
          <w:bCs/>
          <w:sz w:val="22"/>
          <w:szCs w:val="22"/>
        </w:rPr>
        <w:lastRenderedPageBreak/>
        <w:t>This referral meets all clinical and contractual standards and should be processed without delay, rejection, or administrative conversion.</w:t>
      </w:r>
    </w:p>
    <w:p w14:paraId="4127E588" w14:textId="77777777" w:rsidR="006813E8" w:rsidRPr="00451B14" w:rsidRDefault="006813E8" w:rsidP="006813E8">
      <w:pPr>
        <w:rPr>
          <w:sz w:val="22"/>
          <w:szCs w:val="22"/>
        </w:rPr>
      </w:pPr>
      <w:r w:rsidRPr="00451B14">
        <w:rPr>
          <w:sz w:val="22"/>
          <w:szCs w:val="22"/>
        </w:rPr>
        <w:t xml:space="preserve">This referral has been made by an appropriately trained and authorised healthcare professional in collaboration with the wishes of the patient under the auspices of the GP partners of the practice. </w:t>
      </w:r>
    </w:p>
    <w:p w14:paraId="329D7A1C" w14:textId="77777777" w:rsidR="006813E8" w:rsidRPr="00451B14" w:rsidRDefault="006813E8" w:rsidP="006813E8">
      <w:pPr>
        <w:rPr>
          <w:sz w:val="22"/>
          <w:szCs w:val="22"/>
        </w:rPr>
      </w:pPr>
      <w:r w:rsidRPr="00451B14">
        <w:rPr>
          <w:sz w:val="22"/>
          <w:szCs w:val="22"/>
        </w:rPr>
        <w:t>It includes all relevant clinical information to support a safe, timely, and appropriate assessment overseen by secondary care acute trust consultant colleagues.</w:t>
      </w:r>
    </w:p>
    <w:p w14:paraId="5E6246A2" w14:textId="77777777" w:rsidR="006813E8" w:rsidRPr="00451B14" w:rsidRDefault="006813E8" w:rsidP="006813E8">
      <w:pPr>
        <w:rPr>
          <w:sz w:val="22"/>
          <w:szCs w:val="22"/>
        </w:rPr>
      </w:pPr>
      <w:r w:rsidRPr="00451B14">
        <w:rPr>
          <w:sz w:val="22"/>
          <w:szCs w:val="22"/>
        </w:rPr>
        <w:t>We confirm that this referral is made in accordance with the </w:t>
      </w:r>
      <w:r w:rsidRPr="00451B14">
        <w:rPr>
          <w:b/>
          <w:bCs/>
          <w:sz w:val="22"/>
          <w:szCs w:val="22"/>
        </w:rPr>
        <w:t>NHS Standard Contract 2024/25 Service Conditions</w:t>
      </w:r>
      <w:r w:rsidRPr="00451B14">
        <w:rPr>
          <w:sz w:val="22"/>
          <w:szCs w:val="22"/>
        </w:rPr>
        <w:t>. Specifically, clause </w:t>
      </w:r>
      <w:r w:rsidRPr="00451B14">
        <w:rPr>
          <w:b/>
          <w:bCs/>
          <w:sz w:val="22"/>
          <w:szCs w:val="22"/>
        </w:rPr>
        <w:t>6.13</w:t>
      </w:r>
      <w:r w:rsidRPr="00451B14">
        <w:rPr>
          <w:sz w:val="22"/>
          <w:szCs w:val="22"/>
        </w:rPr>
        <w:t> requires providers to:</w:t>
      </w:r>
    </w:p>
    <w:p w14:paraId="7B3C931C" w14:textId="77777777" w:rsidR="006813E8" w:rsidRPr="00451B14" w:rsidRDefault="006813E8" w:rsidP="006813E8">
      <w:pPr>
        <w:rPr>
          <w:sz w:val="22"/>
          <w:szCs w:val="22"/>
        </w:rPr>
      </w:pPr>
      <w:r w:rsidRPr="00451B14">
        <w:rPr>
          <w:i/>
          <w:iCs/>
          <w:sz w:val="22"/>
          <w:szCs w:val="22"/>
        </w:rPr>
        <w:t>“</w:t>
      </w:r>
      <w:proofErr w:type="gramStart"/>
      <w:r w:rsidRPr="00451B14">
        <w:rPr>
          <w:i/>
          <w:iCs/>
          <w:sz w:val="22"/>
          <w:szCs w:val="22"/>
        </w:rPr>
        <w:t>accept</w:t>
      </w:r>
      <w:proofErr w:type="gramEnd"/>
      <w:r w:rsidRPr="00451B14">
        <w:rPr>
          <w:i/>
          <w:iCs/>
          <w:sz w:val="22"/>
          <w:szCs w:val="22"/>
        </w:rPr>
        <w:t xml:space="preserve"> any Referral of a Service User made in accordance with the Referral processes and clinical thresholds set out or referred to in this Contract… and in any event where necessary for a Service User to exercise their legal right to choice as set out in the NHS Choice Framework.”</w:t>
      </w:r>
    </w:p>
    <w:p w14:paraId="5DE48657" w14:textId="77777777" w:rsidR="006813E8" w:rsidRPr="00451B14" w:rsidRDefault="006813E8" w:rsidP="006813E8">
      <w:pPr>
        <w:rPr>
          <w:i/>
          <w:iCs/>
          <w:sz w:val="22"/>
          <w:szCs w:val="22"/>
        </w:rPr>
      </w:pPr>
      <w:r w:rsidRPr="00451B14">
        <w:rPr>
          <w:sz w:val="22"/>
          <w:szCs w:val="22"/>
        </w:rPr>
        <w:t>— </w:t>
      </w:r>
      <w:r w:rsidRPr="00451B14">
        <w:rPr>
          <w:i/>
          <w:iCs/>
          <w:sz w:val="22"/>
          <w:szCs w:val="22"/>
        </w:rPr>
        <w:t>NHS Standard Contract 2024/25, Service Condition 6.13</w:t>
      </w:r>
    </w:p>
    <w:p w14:paraId="2302AA79" w14:textId="77777777" w:rsidR="006813E8" w:rsidRPr="00451B14" w:rsidRDefault="006813E8" w:rsidP="006813E8">
      <w:pPr>
        <w:rPr>
          <w:sz w:val="22"/>
          <w:szCs w:val="22"/>
        </w:rPr>
      </w:pPr>
      <w:r w:rsidRPr="00451B14">
        <w:rPr>
          <w:sz w:val="22"/>
          <w:szCs w:val="22"/>
        </w:rPr>
        <w:t xml:space="preserve">In addition, this referral is made in explicit alignment with Jess’s Rule: Three Strikes and We Rethink, as issued by the Department of Health and Social Care and NHS England in September 2025. </w:t>
      </w:r>
    </w:p>
    <w:p w14:paraId="3852A8E4" w14:textId="77777777" w:rsidR="006813E8" w:rsidRPr="00451B14" w:rsidRDefault="006813E8" w:rsidP="006813E8">
      <w:pPr>
        <w:rPr>
          <w:sz w:val="22"/>
          <w:szCs w:val="22"/>
        </w:rPr>
      </w:pPr>
      <w:r w:rsidRPr="00451B14">
        <w:rPr>
          <w:sz w:val="22"/>
          <w:szCs w:val="22"/>
        </w:rPr>
        <w:t>Jess’s Rule requires escalation when patients present repeatedly with unresolved or escalating symptoms. Rejecting this referral would therefore constitute a breach of both contractual obligations and nationally mandated patient safety guidance.</w:t>
      </w:r>
    </w:p>
    <w:p w14:paraId="562610DD" w14:textId="77777777" w:rsidR="006813E8" w:rsidRPr="00451B14" w:rsidRDefault="006813E8" w:rsidP="006813E8">
      <w:pPr>
        <w:rPr>
          <w:sz w:val="22"/>
          <w:szCs w:val="22"/>
        </w:rPr>
      </w:pPr>
      <w:r w:rsidRPr="00451B14">
        <w:rPr>
          <w:sz w:val="22"/>
          <w:szCs w:val="22"/>
        </w:rPr>
        <w:t>Accordingly, this referral </w:t>
      </w:r>
      <w:r w:rsidRPr="00451B14">
        <w:rPr>
          <w:b/>
          <w:bCs/>
          <w:sz w:val="22"/>
          <w:szCs w:val="22"/>
        </w:rPr>
        <w:t>must not be rejected</w:t>
      </w:r>
      <w:r w:rsidRPr="00451B14">
        <w:rPr>
          <w:sz w:val="22"/>
          <w:szCs w:val="22"/>
        </w:rPr>
        <w:t>.</w:t>
      </w:r>
    </w:p>
    <w:p w14:paraId="0D61C68E" w14:textId="77777777" w:rsidR="006813E8" w:rsidRPr="00451B14" w:rsidRDefault="006813E8" w:rsidP="006813E8">
      <w:pPr>
        <w:numPr>
          <w:ilvl w:val="0"/>
          <w:numId w:val="23"/>
        </w:numPr>
        <w:rPr>
          <w:sz w:val="22"/>
          <w:szCs w:val="22"/>
        </w:rPr>
      </w:pPr>
      <w:r w:rsidRPr="00451B14">
        <w:rPr>
          <w:sz w:val="22"/>
          <w:szCs w:val="22"/>
        </w:rPr>
        <w:t>If further clinical workup is needed, this should be undertaken within the acute trust or at the request of the acute trust within the wider secondary care system (e.g. CDCs) as part of the patient pathway.</w:t>
      </w:r>
    </w:p>
    <w:p w14:paraId="7B0AE802" w14:textId="77777777" w:rsidR="006813E8" w:rsidRPr="00451B14" w:rsidRDefault="006813E8" w:rsidP="006813E8">
      <w:pPr>
        <w:numPr>
          <w:ilvl w:val="0"/>
          <w:numId w:val="23"/>
        </w:numPr>
        <w:rPr>
          <w:sz w:val="22"/>
          <w:szCs w:val="22"/>
        </w:rPr>
      </w:pPr>
      <w:r w:rsidRPr="00451B14">
        <w:rPr>
          <w:sz w:val="22"/>
          <w:szCs w:val="22"/>
        </w:rPr>
        <w:t>The capacity of acute secondary care services must not be used as a reason to delay, reject, or reassign work back into general practice or wider primary care.</w:t>
      </w:r>
    </w:p>
    <w:p w14:paraId="6C739E4B" w14:textId="77777777" w:rsidR="006813E8" w:rsidRPr="00451B14" w:rsidRDefault="006813E8" w:rsidP="006813E8">
      <w:pPr>
        <w:numPr>
          <w:ilvl w:val="0"/>
          <w:numId w:val="23"/>
        </w:numPr>
        <w:rPr>
          <w:sz w:val="22"/>
          <w:szCs w:val="22"/>
        </w:rPr>
      </w:pPr>
      <w:r w:rsidRPr="00451B14">
        <w:rPr>
          <w:sz w:val="22"/>
          <w:szCs w:val="22"/>
        </w:rPr>
        <w:t>We do not accept rejections based on the absence of locally agreed forms or templates. These are </w:t>
      </w:r>
      <w:r w:rsidRPr="00451B14">
        <w:rPr>
          <w:b/>
          <w:bCs/>
          <w:sz w:val="22"/>
          <w:szCs w:val="22"/>
        </w:rPr>
        <w:t>not</w:t>
      </w:r>
      <w:r w:rsidRPr="00451B14">
        <w:rPr>
          <w:sz w:val="22"/>
          <w:szCs w:val="22"/>
        </w:rPr>
        <w:t> contractually or professionally required.</w:t>
      </w:r>
    </w:p>
    <w:p w14:paraId="2A8C8FF8" w14:textId="77777777" w:rsidR="006813E8" w:rsidRPr="00451B14" w:rsidRDefault="006813E8" w:rsidP="006813E8">
      <w:pPr>
        <w:rPr>
          <w:sz w:val="22"/>
          <w:szCs w:val="22"/>
        </w:rPr>
      </w:pPr>
      <w:r w:rsidRPr="00451B14">
        <w:rPr>
          <w:sz w:val="22"/>
          <w:szCs w:val="22"/>
        </w:rPr>
        <w:t xml:space="preserve">Unless explicitly stated otherwise in our referral letter, </w:t>
      </w:r>
      <w:r w:rsidRPr="00451B14">
        <w:rPr>
          <w:b/>
          <w:bCs/>
          <w:sz w:val="22"/>
          <w:szCs w:val="22"/>
        </w:rPr>
        <w:t>this is not a request for Advice &amp; Guidance</w:t>
      </w:r>
      <w:r w:rsidRPr="00451B14">
        <w:rPr>
          <w:sz w:val="22"/>
          <w:szCs w:val="22"/>
        </w:rPr>
        <w:t>. Conversion of this referral to A&amp;G without our prior consent is inappropriate and will not be acted upon.</w:t>
      </w:r>
    </w:p>
    <w:p w14:paraId="6D7BE625" w14:textId="77777777" w:rsidR="006813E8" w:rsidRPr="00451B14" w:rsidRDefault="006813E8" w:rsidP="006813E8">
      <w:pPr>
        <w:rPr>
          <w:sz w:val="22"/>
          <w:szCs w:val="22"/>
        </w:rPr>
      </w:pPr>
      <w:r w:rsidRPr="00451B14">
        <w:rPr>
          <w:sz w:val="22"/>
          <w:szCs w:val="22"/>
        </w:rPr>
        <w:t>Any decision to reject, delay, or convert this referral </w:t>
      </w:r>
      <w:r w:rsidRPr="00451B14">
        <w:rPr>
          <w:b/>
          <w:bCs/>
          <w:sz w:val="22"/>
          <w:szCs w:val="22"/>
        </w:rPr>
        <w:t>must be made by a named GMC-registered doctor</w:t>
      </w:r>
      <w:r w:rsidRPr="00451B14">
        <w:rPr>
          <w:sz w:val="22"/>
          <w:szCs w:val="22"/>
        </w:rPr>
        <w:t>, with their full name and GMC number clearly stated in the response.</w:t>
      </w:r>
    </w:p>
    <w:p w14:paraId="45391D77" w14:textId="77777777" w:rsidR="006813E8" w:rsidRPr="00451B14" w:rsidRDefault="006813E8" w:rsidP="006813E8">
      <w:pPr>
        <w:rPr>
          <w:sz w:val="22"/>
          <w:szCs w:val="22"/>
        </w:rPr>
      </w:pPr>
      <w:r w:rsidRPr="00451B14">
        <w:rPr>
          <w:sz w:val="22"/>
          <w:szCs w:val="22"/>
        </w:rPr>
        <w:t>In the absence of such identification, we will assume that the Trust’s </w:t>
      </w:r>
      <w:r w:rsidRPr="00451B14">
        <w:rPr>
          <w:b/>
          <w:bCs/>
          <w:sz w:val="22"/>
          <w:szCs w:val="22"/>
        </w:rPr>
        <w:t>Medical Director is accepting responsibility</w:t>
      </w:r>
      <w:r w:rsidRPr="00451B14">
        <w:rPr>
          <w:sz w:val="22"/>
          <w:szCs w:val="22"/>
        </w:rPr>
        <w:t> for this decision.</w:t>
      </w:r>
    </w:p>
    <w:p w14:paraId="3B2C3A2B" w14:textId="77777777" w:rsidR="006813E8" w:rsidRPr="00451B14" w:rsidRDefault="006813E8" w:rsidP="006813E8">
      <w:pPr>
        <w:rPr>
          <w:b/>
          <w:bCs/>
          <w:sz w:val="22"/>
          <w:szCs w:val="22"/>
        </w:rPr>
      </w:pPr>
      <w:r w:rsidRPr="00451B14">
        <w:rPr>
          <w:b/>
          <w:bCs/>
          <w:sz w:val="22"/>
          <w:szCs w:val="22"/>
        </w:rPr>
        <w:t>Any resulting delays in patient care or treatment will be considered the responsibility of the receiving secondary care team.</w:t>
      </w:r>
    </w:p>
    <w:p w14:paraId="73C22DDE" w14:textId="058C91A1" w:rsidR="00C5180A" w:rsidRPr="00C833F9" w:rsidRDefault="00C5180A" w:rsidP="00C5180A"/>
    <w:sectPr w:rsidR="00C5180A" w:rsidRPr="00C833F9" w:rsidSect="00ED1D90">
      <w:headerReference w:type="first" r:id="rId21"/>
      <w:pgSz w:w="11900" w:h="16840"/>
      <w:pgMar w:top="1701" w:right="1270"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923D" w14:textId="77777777" w:rsidR="00970812" w:rsidRDefault="00970812" w:rsidP="00006000">
      <w:pPr>
        <w:spacing w:after="0"/>
      </w:pPr>
      <w:r>
        <w:separator/>
      </w:r>
    </w:p>
  </w:endnote>
  <w:endnote w:type="continuationSeparator" w:id="0">
    <w:p w14:paraId="3DADE214" w14:textId="77777777" w:rsidR="00970812" w:rsidRDefault="00970812" w:rsidP="00006000">
      <w:pPr>
        <w:spacing w:after="0"/>
      </w:pPr>
      <w:r>
        <w:continuationSeparator/>
      </w:r>
    </w:p>
  </w:endnote>
  <w:endnote w:type="continuationNotice" w:id="1">
    <w:p w14:paraId="353E066C" w14:textId="77777777" w:rsidR="00970812" w:rsidRDefault="009708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3039" w14:textId="19429469" w:rsidR="009C0B2C" w:rsidRDefault="007F39DF">
    <w:pPr>
      <w:pStyle w:val="Footer"/>
    </w:pPr>
    <w:r>
      <w:rPr>
        <w:noProof/>
      </w:rPr>
      <mc:AlternateContent>
        <mc:Choice Requires="wps">
          <w:drawing>
            <wp:anchor distT="0" distB="0" distL="0" distR="0" simplePos="0" relativeHeight="251658242" behindDoc="0" locked="0" layoutInCell="1" allowOverlap="1" wp14:anchorId="2A4451E5" wp14:editId="3D05A161">
              <wp:simplePos x="635" y="635"/>
              <wp:positionH relativeFrom="page">
                <wp:align>left</wp:align>
              </wp:positionH>
              <wp:positionV relativeFrom="page">
                <wp:align>bottom</wp:align>
              </wp:positionV>
              <wp:extent cx="1242695" cy="314325"/>
              <wp:effectExtent l="0" t="0" r="14605" b="0"/>
              <wp:wrapNone/>
              <wp:docPr id="313641972" name="Text Box 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53D938C" w14:textId="265207A0" w:rsidR="007F39DF" w:rsidRPr="007F39DF" w:rsidRDefault="007F39DF" w:rsidP="007F39DF">
                          <w:pPr>
                            <w:spacing w:after="0"/>
                            <w:rPr>
                              <w:rFonts w:ascii="Calibri" w:eastAsia="Calibri" w:hAnsi="Calibri" w:cs="Calibri"/>
                              <w:noProof/>
                              <w:color w:val="000000"/>
                              <w:sz w:val="16"/>
                              <w:szCs w:val="16"/>
                            </w:rPr>
                          </w:pPr>
                          <w:r w:rsidRPr="007F39DF">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A4451E5" id="_x0000_t202" coordsize="21600,21600" o:spt="202" path="m,l,21600r21600,l21600,xe">
              <v:stroke joinstyle="miter"/>
              <v:path gradientshapeok="t" o:connecttype="rect"/>
            </v:shapetype>
            <v:shape id="Text Box 5" o:spid="_x0000_s1028" type="#_x0000_t202" alt="Sensitivity: Unrestricted" style="position:absolute;margin-left:0;margin-top:0;width:97.85pt;height:24.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textbox style="mso-fit-shape-to-text:t" inset="20pt,0,0,15pt">
                <w:txbxContent>
                  <w:p w14:paraId="053D938C" w14:textId="265207A0" w:rsidR="007F39DF" w:rsidRPr="007F39DF" w:rsidRDefault="007F39DF" w:rsidP="007F39DF">
                    <w:pPr>
                      <w:spacing w:after="0"/>
                      <w:rPr>
                        <w:rFonts w:ascii="Calibri" w:eastAsia="Calibri" w:hAnsi="Calibri" w:cs="Calibri"/>
                        <w:noProof/>
                        <w:color w:val="000000"/>
                        <w:sz w:val="16"/>
                        <w:szCs w:val="16"/>
                      </w:rPr>
                    </w:pPr>
                    <w:r w:rsidRPr="007F39DF">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5530" w14:textId="4B925A43" w:rsidR="00FF77A1" w:rsidRPr="00C1383B" w:rsidRDefault="00FF77A1" w:rsidP="00C1383B">
    <w:pPr>
      <w:pStyle w:val="Footer"/>
      <w:jc w:val="right"/>
      <w:rPr>
        <w:color w:val="13316E" w:themeColor="text1"/>
        <w:sz w:val="16"/>
        <w:szCs w:val="16"/>
      </w:rPr>
    </w:pPr>
  </w:p>
  <w:sdt>
    <w:sdtPr>
      <w:rPr>
        <w:color w:val="13316E" w:themeColor="text1"/>
        <w:sz w:val="16"/>
        <w:szCs w:val="16"/>
      </w:rPr>
      <w:id w:val="-635485633"/>
      <w:docPartObj>
        <w:docPartGallery w:val="Page Numbers (Bottom of Page)"/>
        <w:docPartUnique/>
      </w:docPartObj>
    </w:sdtPr>
    <w:sdtContent>
      <w:sdt>
        <w:sdtPr>
          <w:rPr>
            <w:color w:val="13316E" w:themeColor="text1"/>
            <w:sz w:val="16"/>
            <w:szCs w:val="16"/>
          </w:rPr>
          <w:id w:val="-1769616900"/>
          <w:docPartObj>
            <w:docPartGallery w:val="Page Numbers (Top of Page)"/>
            <w:docPartUnique/>
          </w:docPartObj>
        </w:sdtPr>
        <w:sdtContent>
          <w:p w14:paraId="1A0BE6BC" w14:textId="77777777" w:rsidR="00FF77A1" w:rsidRPr="00C1383B" w:rsidRDefault="00FF77A1" w:rsidP="00C1383B">
            <w:pPr>
              <w:pStyle w:val="Footer"/>
              <w:jc w:val="right"/>
              <w:rPr>
                <w:color w:val="13316E" w:themeColor="text1"/>
                <w:sz w:val="16"/>
                <w:szCs w:val="16"/>
              </w:rPr>
            </w:pPr>
            <w:r w:rsidRPr="00C1383B">
              <w:rPr>
                <w:color w:val="13316E" w:themeColor="text1"/>
                <w:sz w:val="16"/>
                <w:szCs w:val="16"/>
              </w:rPr>
              <w:t xml:space="preserve">Page </w:t>
            </w:r>
            <w:r w:rsidRPr="00C1383B">
              <w:rPr>
                <w:bCs/>
                <w:color w:val="13316E" w:themeColor="text1"/>
                <w:sz w:val="16"/>
                <w:szCs w:val="16"/>
              </w:rPr>
              <w:fldChar w:fldCharType="begin"/>
            </w:r>
            <w:r w:rsidRPr="00C1383B">
              <w:rPr>
                <w:bCs/>
                <w:color w:val="13316E" w:themeColor="text1"/>
                <w:sz w:val="16"/>
                <w:szCs w:val="16"/>
              </w:rPr>
              <w:instrText xml:space="preserve"> PAGE </w:instrText>
            </w:r>
            <w:r w:rsidRPr="00C1383B">
              <w:rPr>
                <w:bCs/>
                <w:color w:val="13316E" w:themeColor="text1"/>
                <w:sz w:val="16"/>
                <w:szCs w:val="16"/>
              </w:rPr>
              <w:fldChar w:fldCharType="separate"/>
            </w:r>
            <w:r w:rsidR="00181FD9">
              <w:rPr>
                <w:bCs/>
                <w:noProof/>
                <w:color w:val="13316E" w:themeColor="text1"/>
                <w:sz w:val="16"/>
                <w:szCs w:val="16"/>
              </w:rPr>
              <w:t>2</w:t>
            </w:r>
            <w:r w:rsidRPr="00C1383B">
              <w:rPr>
                <w:bCs/>
                <w:color w:val="13316E" w:themeColor="text1"/>
                <w:sz w:val="16"/>
                <w:szCs w:val="16"/>
              </w:rPr>
              <w:fldChar w:fldCharType="end"/>
            </w:r>
            <w:r w:rsidRPr="00C1383B">
              <w:rPr>
                <w:color w:val="13316E" w:themeColor="text1"/>
                <w:sz w:val="16"/>
                <w:szCs w:val="16"/>
              </w:rPr>
              <w:t xml:space="preserve"> of </w:t>
            </w:r>
            <w:r w:rsidRPr="00C1383B">
              <w:rPr>
                <w:bCs/>
                <w:color w:val="13316E" w:themeColor="text1"/>
                <w:sz w:val="16"/>
                <w:szCs w:val="16"/>
              </w:rPr>
              <w:fldChar w:fldCharType="begin"/>
            </w:r>
            <w:r w:rsidRPr="00C1383B">
              <w:rPr>
                <w:bCs/>
                <w:color w:val="13316E" w:themeColor="text1"/>
                <w:sz w:val="16"/>
                <w:szCs w:val="16"/>
              </w:rPr>
              <w:instrText xml:space="preserve"> NUMPAGES  </w:instrText>
            </w:r>
            <w:r w:rsidRPr="00C1383B">
              <w:rPr>
                <w:bCs/>
                <w:color w:val="13316E" w:themeColor="text1"/>
                <w:sz w:val="16"/>
                <w:szCs w:val="16"/>
              </w:rPr>
              <w:fldChar w:fldCharType="separate"/>
            </w:r>
            <w:r w:rsidR="00181FD9">
              <w:rPr>
                <w:bCs/>
                <w:noProof/>
                <w:color w:val="13316E" w:themeColor="text1"/>
                <w:sz w:val="16"/>
                <w:szCs w:val="16"/>
              </w:rPr>
              <w:t>2</w:t>
            </w:r>
            <w:r w:rsidRPr="00C1383B">
              <w:rPr>
                <w:bCs/>
                <w:color w:val="13316E" w:themeColor="text1"/>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CCE" w14:textId="77777777" w:rsidR="00ED1D90" w:rsidRDefault="00ED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2F52" w14:textId="77777777" w:rsidR="00970812" w:rsidRDefault="00970812" w:rsidP="00006000">
      <w:pPr>
        <w:spacing w:after="0"/>
      </w:pPr>
      <w:r>
        <w:separator/>
      </w:r>
    </w:p>
  </w:footnote>
  <w:footnote w:type="continuationSeparator" w:id="0">
    <w:p w14:paraId="19D05E72" w14:textId="77777777" w:rsidR="00970812" w:rsidRDefault="00970812" w:rsidP="00006000">
      <w:pPr>
        <w:spacing w:after="0"/>
      </w:pPr>
      <w:r>
        <w:continuationSeparator/>
      </w:r>
    </w:p>
  </w:footnote>
  <w:footnote w:type="continuationNotice" w:id="1">
    <w:p w14:paraId="1E400087" w14:textId="77777777" w:rsidR="00970812" w:rsidRDefault="009708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07C7" w14:textId="6D63C545" w:rsidR="009C0B2C" w:rsidRDefault="007F39DF">
    <w:pPr>
      <w:pStyle w:val="Header"/>
    </w:pPr>
    <w:r>
      <w:rPr>
        <w:noProof/>
      </w:rPr>
      <mc:AlternateContent>
        <mc:Choice Requires="wps">
          <w:drawing>
            <wp:anchor distT="0" distB="0" distL="0" distR="0" simplePos="0" relativeHeight="251658240" behindDoc="0" locked="0" layoutInCell="1" allowOverlap="1" wp14:anchorId="2793E187" wp14:editId="2473FC49">
              <wp:simplePos x="635" y="635"/>
              <wp:positionH relativeFrom="page">
                <wp:align>left</wp:align>
              </wp:positionH>
              <wp:positionV relativeFrom="page">
                <wp:align>top</wp:align>
              </wp:positionV>
              <wp:extent cx="1242695" cy="314325"/>
              <wp:effectExtent l="0" t="0" r="14605" b="9525"/>
              <wp:wrapNone/>
              <wp:docPr id="570308305" name="Text Box 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B2D81C2" w14:textId="1BD7E498" w:rsidR="007F39DF" w:rsidRPr="007F39DF" w:rsidRDefault="007F39DF" w:rsidP="007F39DF">
                          <w:pPr>
                            <w:spacing w:after="0"/>
                            <w:rPr>
                              <w:rFonts w:ascii="Calibri" w:eastAsia="Calibri" w:hAnsi="Calibri" w:cs="Calibri"/>
                              <w:noProof/>
                              <w:color w:val="000000"/>
                              <w:sz w:val="16"/>
                              <w:szCs w:val="16"/>
                            </w:rPr>
                          </w:pPr>
                          <w:r w:rsidRPr="007F39DF">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793E187" id="_x0000_t202" coordsize="21600,21600" o:spt="202" path="m,l,21600r21600,l21600,xe">
              <v:stroke joinstyle="miter"/>
              <v:path gradientshapeok="t" o:connecttype="rect"/>
            </v:shapetype>
            <v:shape id="Text Box 2" o:spid="_x0000_s1026" type="#_x0000_t202" alt="Sensitivity: Unrestricted" style="position:absolute;margin-left:0;margin-top:0;width:97.85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7B2D81C2" w14:textId="1BD7E498" w:rsidR="007F39DF" w:rsidRPr="007F39DF" w:rsidRDefault="007F39DF" w:rsidP="007F39DF">
                    <w:pPr>
                      <w:spacing w:after="0"/>
                      <w:rPr>
                        <w:rFonts w:ascii="Calibri" w:eastAsia="Calibri" w:hAnsi="Calibri" w:cs="Calibri"/>
                        <w:noProof/>
                        <w:color w:val="000000"/>
                        <w:sz w:val="16"/>
                        <w:szCs w:val="16"/>
                      </w:rPr>
                    </w:pPr>
                    <w:r w:rsidRPr="007F39DF">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0308" w14:textId="3DF1E371" w:rsidR="00FF77A1" w:rsidRDefault="007F39DF">
    <w:pPr>
      <w:pStyle w:val="Header"/>
    </w:pPr>
    <w:r>
      <w:rPr>
        <w:noProof/>
        <w:lang w:eastAsia="en-GB"/>
      </w:rPr>
      <mc:AlternateContent>
        <mc:Choice Requires="wps">
          <w:drawing>
            <wp:anchor distT="0" distB="0" distL="0" distR="0" simplePos="0" relativeHeight="251658241" behindDoc="0" locked="0" layoutInCell="1" allowOverlap="1" wp14:anchorId="03AF2FDC" wp14:editId="77C6995D">
              <wp:simplePos x="635" y="635"/>
              <wp:positionH relativeFrom="page">
                <wp:align>left</wp:align>
              </wp:positionH>
              <wp:positionV relativeFrom="page">
                <wp:align>top</wp:align>
              </wp:positionV>
              <wp:extent cx="1242695" cy="314325"/>
              <wp:effectExtent l="0" t="0" r="14605" b="9525"/>
              <wp:wrapNone/>
              <wp:docPr id="1753793180" name="Text Box 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CD8864A" w14:textId="69A48FBC" w:rsidR="007F39DF" w:rsidRPr="007F39DF" w:rsidRDefault="007F39DF" w:rsidP="007F39DF">
                          <w:pPr>
                            <w:spacing w:after="0"/>
                            <w:rPr>
                              <w:rFonts w:ascii="Calibri" w:eastAsia="Calibri" w:hAnsi="Calibri" w:cs="Calibri"/>
                              <w:noProof/>
                              <w:color w:val="000000"/>
                              <w:sz w:val="16"/>
                              <w:szCs w:val="16"/>
                            </w:rPr>
                          </w:pPr>
                          <w:r w:rsidRPr="007F39DF">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3AF2FDC" id="_x0000_t202" coordsize="21600,21600" o:spt="202" path="m,l,21600r21600,l21600,xe">
              <v:stroke joinstyle="miter"/>
              <v:path gradientshapeok="t" o:connecttype="rect"/>
            </v:shapetype>
            <v:shape id="Text Box 3" o:spid="_x0000_s1027" type="#_x0000_t202" alt="Sensitivity: Unrestricted"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textbox style="mso-fit-shape-to-text:t" inset="20pt,15pt,0,0">
                <w:txbxContent>
                  <w:p w14:paraId="0CD8864A" w14:textId="69A48FBC" w:rsidR="007F39DF" w:rsidRPr="007F39DF" w:rsidRDefault="007F39DF" w:rsidP="007F39DF">
                    <w:pPr>
                      <w:spacing w:after="0"/>
                      <w:rPr>
                        <w:rFonts w:ascii="Calibri" w:eastAsia="Calibri" w:hAnsi="Calibri" w:cs="Calibri"/>
                        <w:noProof/>
                        <w:color w:val="000000"/>
                        <w:sz w:val="16"/>
                        <w:szCs w:val="16"/>
                      </w:rPr>
                    </w:pPr>
                    <w:r w:rsidRPr="007F39DF">
                      <w:rPr>
                        <w:rFonts w:ascii="Calibri" w:eastAsia="Calibri" w:hAnsi="Calibri" w:cs="Calibri"/>
                        <w:noProof/>
                        <w:color w:val="000000"/>
                        <w:sz w:val="16"/>
                        <w:szCs w:val="16"/>
                      </w:rPr>
                      <w:t>Sensitivity: Unrestricted</w:t>
                    </w:r>
                  </w:p>
                </w:txbxContent>
              </v:textbox>
              <w10:wrap anchorx="page" anchory="page"/>
            </v:shape>
          </w:pict>
        </mc:Fallback>
      </mc:AlternateContent>
    </w:r>
    <w:r w:rsidR="00FF77A1">
      <w:rPr>
        <w:noProof/>
        <w:lang w:eastAsia="en-GB"/>
      </w:rPr>
      <w:drawing>
        <wp:anchor distT="0" distB="0" distL="114300" distR="114300" simplePos="0" relativeHeight="251684870" behindDoc="0" locked="0" layoutInCell="1" allowOverlap="1" wp14:anchorId="0578784A" wp14:editId="79AB5F6F">
          <wp:simplePos x="0" y="0"/>
          <wp:positionH relativeFrom="column">
            <wp:posOffset>5473065</wp:posOffset>
          </wp:positionH>
          <wp:positionV relativeFrom="paragraph">
            <wp:posOffset>254134</wp:posOffset>
          </wp:positionV>
          <wp:extent cx="532436" cy="190993"/>
          <wp:effectExtent l="0" t="0" r="1270" b="12700"/>
          <wp:wrapNone/>
          <wp:docPr id="201274393" name="Picture 20127439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36" cy="19099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aclsh="http://schemas.microsoft.com/office/drawing/2020/classificationShape"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F99C" w14:textId="32437F46" w:rsidR="00FF77A1" w:rsidRPr="00721E6E" w:rsidRDefault="0060734C" w:rsidP="42C6C5A5">
    <w:pPr>
      <w:spacing w:after="0"/>
    </w:pPr>
    <w:r w:rsidRPr="00721E6E">
      <w:rPr>
        <w:b/>
        <w:bCs/>
        <w:noProof/>
        <w:lang w:eastAsia="en-GB"/>
      </w:rPr>
      <w:drawing>
        <wp:anchor distT="0" distB="0" distL="114300" distR="114300" simplePos="0" relativeHeight="251686918" behindDoc="0" locked="0" layoutInCell="1" allowOverlap="1" wp14:anchorId="32A8A98D" wp14:editId="2604C1BD">
          <wp:simplePos x="0" y="0"/>
          <wp:positionH relativeFrom="column">
            <wp:posOffset>5005070</wp:posOffset>
          </wp:positionH>
          <wp:positionV relativeFrom="paragraph">
            <wp:posOffset>251460</wp:posOffset>
          </wp:positionV>
          <wp:extent cx="1210310" cy="434340"/>
          <wp:effectExtent l="0" t="0" r="8890" b="0"/>
          <wp:wrapNone/>
          <wp:docPr id="165872721" name="Picture 165872721"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r w:rsidR="42C6C5A5" w:rsidRPr="42C6C5A5">
      <w:rPr>
        <w:rFonts w:ascii="Aptos" w:eastAsia="Aptos" w:hAnsi="Aptos" w:cs="Aptos"/>
        <w:b/>
        <w:bCs/>
        <w:sz w:val="22"/>
        <w:szCs w:val="22"/>
      </w:rPr>
      <w:t xml:space="preserve">First issued </w:t>
    </w:r>
    <w:r w:rsidR="00072C94">
      <w:rPr>
        <w:rFonts w:ascii="Aptos" w:eastAsia="Aptos" w:hAnsi="Aptos" w:cs="Aptos"/>
        <w:b/>
        <w:bCs/>
        <w:sz w:val="22"/>
        <w:szCs w:val="22"/>
      </w:rPr>
      <w:t>April</w:t>
    </w:r>
    <w:r w:rsidR="42C6C5A5" w:rsidRPr="42C6C5A5">
      <w:rPr>
        <w:rFonts w:ascii="Aptos" w:eastAsia="Aptos" w:hAnsi="Aptos" w:cs="Aptos"/>
        <w:b/>
        <w:bCs/>
        <w:sz w:val="22"/>
        <w:szCs w:val="22"/>
      </w:rPr>
      <w:t xml:space="preserve"> 202</w:t>
    </w:r>
    <w:r w:rsidR="00072C94">
      <w:rPr>
        <w:rFonts w:ascii="Aptos" w:eastAsia="Aptos" w:hAnsi="Aptos" w:cs="Aptos"/>
        <w:b/>
        <w:bCs/>
        <w:sz w:val="22"/>
        <w:szCs w:val="22"/>
      </w:rPr>
      <w:t>6</w:t>
    </w:r>
  </w:p>
  <w:p w14:paraId="6B13B841" w14:textId="5469938E" w:rsidR="00FF77A1" w:rsidRPr="00721E6E" w:rsidRDefault="00FF77A1" w:rsidP="42C6C5A5">
    <w:pPr>
      <w:pStyle w:val="Header"/>
      <w:spacing w:after="160" w:line="257" w:lineRule="auto"/>
      <w:jc w:val="center"/>
      <w:rPr>
        <w:rFonts w:ascii="Aptos" w:eastAsia="Aptos" w:hAnsi="Aptos" w:cs="Aptos"/>
        <w:b/>
        <w:bCs/>
        <w:sz w:val="28"/>
        <w:szCs w:val="28"/>
      </w:rPr>
    </w:pPr>
  </w:p>
  <w:p w14:paraId="24180A6C" w14:textId="62766823" w:rsidR="00FF77A1" w:rsidRPr="00721E6E" w:rsidRDefault="00ED1D90" w:rsidP="42C6C5A5">
    <w:pPr>
      <w:pStyle w:val="Header"/>
      <w:spacing w:after="160" w:line="257" w:lineRule="auto"/>
      <w:jc w:val="center"/>
      <w:rPr>
        <w:rFonts w:ascii="Aptos" w:eastAsia="Aptos" w:hAnsi="Aptos" w:cs="Aptos"/>
        <w:b/>
        <w:bCs/>
        <w:sz w:val="28"/>
        <w:szCs w:val="28"/>
      </w:rPr>
    </w:pPr>
    <w:r w:rsidRPr="00721E6E">
      <w:rPr>
        <w:b/>
        <w:bCs/>
        <w:noProof/>
        <w:lang w:eastAsia="en-GB"/>
      </w:rPr>
      <mc:AlternateContent>
        <mc:Choice Requires="wps">
          <w:drawing>
            <wp:anchor distT="0" distB="0" distL="114300" distR="114300" simplePos="0" relativeHeight="251658243" behindDoc="0" locked="0" layoutInCell="1" allowOverlap="1" wp14:anchorId="69A5D79E" wp14:editId="5FC2CFB7">
              <wp:simplePos x="0" y="0"/>
              <wp:positionH relativeFrom="column">
                <wp:posOffset>4984115</wp:posOffset>
              </wp:positionH>
              <wp:positionV relativeFrom="paragraph">
                <wp:posOffset>257175</wp:posOffset>
              </wp:positionV>
              <wp:extent cx="17145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1714500" cy="0"/>
                      </a:xfrm>
                      <a:prstGeom prst="line">
                        <a:avLst/>
                      </a:prstGeom>
                      <a:ln w="3810">
                        <a:solidFill>
                          <a:srgbClr val="13316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59E92F5" id="Straight Connector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45pt,20.25pt" to="527.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" strokecolor="#13316e" strokeweight=".3pt"/>
          </w:pict>
        </mc:Fallback>
      </mc:AlternateContent>
    </w:r>
    <w:r w:rsidR="00072C94" w:rsidRPr="00721E6E">
      <w:rPr>
        <w:b/>
        <w:bCs/>
        <w:noProof/>
        <w:lang w:eastAsia="en-GB"/>
      </w:rPr>
      <w:drawing>
        <wp:anchor distT="0" distB="0" distL="114300" distR="114300" simplePos="0" relativeHeight="251688966" behindDoc="1" locked="0" layoutInCell="1" allowOverlap="1" wp14:anchorId="33134FC9" wp14:editId="76A815C8">
          <wp:simplePos x="0" y="0"/>
          <wp:positionH relativeFrom="page">
            <wp:posOffset>5907405</wp:posOffset>
          </wp:positionH>
          <wp:positionV relativeFrom="topMargin">
            <wp:align>bottom</wp:align>
          </wp:positionV>
          <wp:extent cx="685800" cy="176291"/>
          <wp:effectExtent l="0" t="0" r="0" b="0"/>
          <wp:wrapNone/>
          <wp:docPr id="816640342" name="Picture 81664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and_outline.emf"/>
                  <pic:cNvPicPr/>
                </pic:nvPicPr>
                <pic:blipFill>
                  <a:blip r:embed="rId2">
                    <a:extLst>
                      <a:ext uri="{28A0092B-C50C-407E-A947-70E740481C1C}">
                        <a14:useLocalDpi xmlns:a14="http://schemas.microsoft.com/office/drawing/2010/main" val="0"/>
                      </a:ext>
                    </a:extLst>
                  </a:blip>
                  <a:stretch>
                    <a:fillRect/>
                  </a:stretch>
                </pic:blipFill>
                <pic:spPr>
                  <a:xfrm>
                    <a:off x="0" y="0"/>
                    <a:ext cx="685800" cy="17629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p w14:paraId="4954A0A8" w14:textId="4CA2EF7C" w:rsidR="00FF77A1" w:rsidRPr="00721E6E" w:rsidRDefault="00FF77A1">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7900" w14:textId="6EE26CB5" w:rsidR="00A6472B" w:rsidRPr="00790816" w:rsidRDefault="00A92B47" w:rsidP="00A6472B">
    <w:pPr>
      <w:pStyle w:val="NormalWeb"/>
      <w:ind w:left="-851"/>
      <w:rPr>
        <w:rFonts w:ascii="Calibri" w:hAnsi="Calibri" w:cs="Calibri"/>
        <w:i/>
        <w:iCs/>
      </w:rPr>
    </w:pPr>
    <w:r w:rsidRPr="00721E6E">
      <w:rPr>
        <w:b/>
        <w:bCs/>
        <w:noProof/>
      </w:rPr>
      <w:drawing>
        <wp:anchor distT="0" distB="0" distL="114300" distR="114300" simplePos="0" relativeHeight="251691014" behindDoc="0" locked="0" layoutInCell="1" allowOverlap="1" wp14:anchorId="783D81B4" wp14:editId="15DC87CD">
          <wp:simplePos x="0" y="0"/>
          <wp:positionH relativeFrom="column">
            <wp:posOffset>4895850</wp:posOffset>
          </wp:positionH>
          <wp:positionV relativeFrom="paragraph">
            <wp:posOffset>100965</wp:posOffset>
          </wp:positionV>
          <wp:extent cx="1210310" cy="434340"/>
          <wp:effectExtent l="0" t="0" r="8890" b="0"/>
          <wp:wrapNone/>
          <wp:docPr id="1106381107" name="Picture 1106381107"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r w:rsidR="00A6472B" w:rsidRPr="00790816">
      <w:rPr>
        <w:rFonts w:ascii="Calibri" w:hAnsi="Calibri" w:cs="Calibri"/>
        <w:i/>
        <w:iCs/>
      </w:rPr>
      <w:t>Insert practice letterhead</w:t>
    </w:r>
  </w:p>
  <w:p w14:paraId="047FA600" w14:textId="6A692D8B" w:rsidR="006813E8" w:rsidRPr="00721E6E" w:rsidRDefault="00ED1D90" w:rsidP="42C6C5A5">
    <w:pPr>
      <w:pStyle w:val="Header"/>
      <w:spacing w:after="160" w:line="257" w:lineRule="auto"/>
      <w:jc w:val="center"/>
      <w:rPr>
        <w:rFonts w:ascii="Aptos" w:eastAsia="Aptos" w:hAnsi="Aptos" w:cs="Aptos"/>
        <w:b/>
        <w:bCs/>
        <w:sz w:val="28"/>
        <w:szCs w:val="28"/>
      </w:rPr>
    </w:pPr>
    <w:r w:rsidRPr="00721E6E">
      <w:rPr>
        <w:b/>
        <w:bCs/>
        <w:noProof/>
        <w:lang w:eastAsia="en-GB"/>
      </w:rPr>
      <mc:AlternateContent>
        <mc:Choice Requires="wps">
          <w:drawing>
            <wp:anchor distT="0" distB="0" distL="114300" distR="114300" simplePos="0" relativeHeight="251694086" behindDoc="0" locked="0" layoutInCell="1" allowOverlap="1" wp14:anchorId="76AA4441" wp14:editId="1D4234A3">
              <wp:simplePos x="0" y="0"/>
              <wp:positionH relativeFrom="page">
                <wp:posOffset>5791200</wp:posOffset>
              </wp:positionH>
              <wp:positionV relativeFrom="paragraph">
                <wp:posOffset>263525</wp:posOffset>
              </wp:positionV>
              <wp:extent cx="1714500" cy="0"/>
              <wp:effectExtent l="0" t="0" r="0" b="0"/>
              <wp:wrapNone/>
              <wp:docPr id="430035036" name="Straight Connector 430035036"/>
              <wp:cNvGraphicFramePr/>
              <a:graphic xmlns:a="http://schemas.openxmlformats.org/drawingml/2006/main">
                <a:graphicData uri="http://schemas.microsoft.com/office/word/2010/wordprocessingShape">
                  <wps:wsp>
                    <wps:cNvCnPr/>
                    <wps:spPr>
                      <a:xfrm>
                        <a:off x="0" y="0"/>
                        <a:ext cx="1714500" cy="0"/>
                      </a:xfrm>
                      <a:prstGeom prst="line">
                        <a:avLst/>
                      </a:prstGeom>
                      <a:ln w="3810">
                        <a:solidFill>
                          <a:srgbClr val="13316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30A00F3" id="Straight Connector 430035036" o:spid="_x0000_s1026" style="position:absolute;z-index:2516940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6pt,20.75pt" to="59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" strokecolor="#13316e" strokeweight=".3pt">
              <w10:wrap anchorx="page"/>
            </v:line>
          </w:pict>
        </mc:Fallback>
      </mc:AlternateContent>
    </w:r>
  </w:p>
  <w:p w14:paraId="30100526" w14:textId="26E64170" w:rsidR="006813E8" w:rsidRPr="00721E6E" w:rsidRDefault="0082114C" w:rsidP="42C6C5A5">
    <w:pPr>
      <w:pStyle w:val="Header"/>
      <w:spacing w:after="160" w:line="257" w:lineRule="auto"/>
      <w:jc w:val="center"/>
      <w:rPr>
        <w:rFonts w:ascii="Aptos" w:eastAsia="Aptos" w:hAnsi="Aptos" w:cs="Aptos"/>
        <w:b/>
        <w:bCs/>
        <w:sz w:val="28"/>
        <w:szCs w:val="28"/>
      </w:rPr>
    </w:pPr>
    <w:r w:rsidRPr="00721E6E">
      <w:rPr>
        <w:b/>
        <w:bCs/>
        <w:noProof/>
        <w:lang w:eastAsia="en-GB"/>
      </w:rPr>
      <w:drawing>
        <wp:anchor distT="0" distB="0" distL="114300" distR="114300" simplePos="0" relativeHeight="251692038" behindDoc="1" locked="0" layoutInCell="1" allowOverlap="1" wp14:anchorId="7340E3C4" wp14:editId="30064136">
          <wp:simplePos x="0" y="0"/>
          <wp:positionH relativeFrom="page">
            <wp:posOffset>5810885</wp:posOffset>
          </wp:positionH>
          <wp:positionV relativeFrom="topMargin">
            <wp:posOffset>879475</wp:posOffset>
          </wp:positionV>
          <wp:extent cx="685800" cy="176291"/>
          <wp:effectExtent l="0" t="0" r="0" b="0"/>
          <wp:wrapNone/>
          <wp:docPr id="771096761" name="Picture 77109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and_outline.emf"/>
                  <pic:cNvPicPr/>
                </pic:nvPicPr>
                <pic:blipFill>
                  <a:blip r:embed="rId2">
                    <a:extLst>
                      <a:ext uri="{28A0092B-C50C-407E-A947-70E740481C1C}">
                        <a14:useLocalDpi xmlns:a14="http://schemas.microsoft.com/office/drawing/2010/main" val="0"/>
                      </a:ext>
                    </a:extLst>
                  </a:blip>
                  <a:stretch>
                    <a:fillRect/>
                  </a:stretch>
                </pic:blipFill>
                <pic:spPr>
                  <a:xfrm>
                    <a:off x="0" y="0"/>
                    <a:ext cx="685800" cy="17629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p w14:paraId="71A250A7" w14:textId="568C3E0F" w:rsidR="006813E8" w:rsidRPr="00721E6E" w:rsidRDefault="006813E8">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FFC"/>
    <w:multiLevelType w:val="multilevel"/>
    <w:tmpl w:val="89FE5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28F3"/>
    <w:multiLevelType w:val="multilevel"/>
    <w:tmpl w:val="7494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671A"/>
    <w:multiLevelType w:val="hybridMultilevel"/>
    <w:tmpl w:val="2C46F9A8"/>
    <w:lvl w:ilvl="0" w:tplc="F216FE2A">
      <w:start w:val="1"/>
      <w:numFmt w:val="bullet"/>
      <w:lvlText w:val="-"/>
      <w:lvlJc w:val="left"/>
      <w:pPr>
        <w:ind w:left="720" w:hanging="360"/>
      </w:pPr>
      <w:rPr>
        <w:rFonts w:ascii="Courier"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47378"/>
    <w:multiLevelType w:val="hybridMultilevel"/>
    <w:tmpl w:val="443031D4"/>
    <w:lvl w:ilvl="0" w:tplc="F216FE2A">
      <w:start w:val="1"/>
      <w:numFmt w:val="bullet"/>
      <w:lvlText w:val="-"/>
      <w:lvlJc w:val="left"/>
      <w:pPr>
        <w:ind w:left="720" w:hanging="360"/>
      </w:pPr>
      <w:rPr>
        <w:rFonts w:ascii="Courier"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D540A"/>
    <w:multiLevelType w:val="hybridMultilevel"/>
    <w:tmpl w:val="9D3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75F09"/>
    <w:multiLevelType w:val="hybridMultilevel"/>
    <w:tmpl w:val="B3125820"/>
    <w:lvl w:ilvl="0" w:tplc="60D6547C">
      <w:start w:val="1"/>
      <w:numFmt w:val="decimal"/>
      <w:lvlText w:val="%1."/>
      <w:lvlJc w:val="left"/>
      <w:pPr>
        <w:ind w:left="720" w:hanging="360"/>
      </w:pPr>
    </w:lvl>
    <w:lvl w:ilvl="1" w:tplc="B2AC1C7A">
      <w:start w:val="1"/>
      <w:numFmt w:val="lowerLetter"/>
      <w:lvlText w:val="%2."/>
      <w:lvlJc w:val="left"/>
      <w:pPr>
        <w:ind w:left="1440" w:hanging="360"/>
      </w:pPr>
    </w:lvl>
    <w:lvl w:ilvl="2" w:tplc="DADCD362">
      <w:start w:val="1"/>
      <w:numFmt w:val="lowerRoman"/>
      <w:lvlText w:val="%3."/>
      <w:lvlJc w:val="right"/>
      <w:pPr>
        <w:ind w:left="2160" w:hanging="180"/>
      </w:pPr>
    </w:lvl>
    <w:lvl w:ilvl="3" w:tplc="10CA7920">
      <w:start w:val="1"/>
      <w:numFmt w:val="decimal"/>
      <w:lvlText w:val="%4."/>
      <w:lvlJc w:val="left"/>
      <w:pPr>
        <w:ind w:left="2880" w:hanging="360"/>
      </w:pPr>
    </w:lvl>
    <w:lvl w:ilvl="4" w:tplc="2B269D74">
      <w:start w:val="1"/>
      <w:numFmt w:val="lowerLetter"/>
      <w:lvlText w:val="%5."/>
      <w:lvlJc w:val="left"/>
      <w:pPr>
        <w:ind w:left="3600" w:hanging="360"/>
      </w:pPr>
    </w:lvl>
    <w:lvl w:ilvl="5" w:tplc="E85A7A94">
      <w:start w:val="1"/>
      <w:numFmt w:val="lowerRoman"/>
      <w:lvlText w:val="%6."/>
      <w:lvlJc w:val="right"/>
      <w:pPr>
        <w:ind w:left="4320" w:hanging="180"/>
      </w:pPr>
    </w:lvl>
    <w:lvl w:ilvl="6" w:tplc="EDC8C296">
      <w:start w:val="1"/>
      <w:numFmt w:val="decimal"/>
      <w:lvlText w:val="%7."/>
      <w:lvlJc w:val="left"/>
      <w:pPr>
        <w:ind w:left="5040" w:hanging="360"/>
      </w:pPr>
    </w:lvl>
    <w:lvl w:ilvl="7" w:tplc="96165DD6">
      <w:start w:val="1"/>
      <w:numFmt w:val="lowerLetter"/>
      <w:lvlText w:val="%8."/>
      <w:lvlJc w:val="left"/>
      <w:pPr>
        <w:ind w:left="5760" w:hanging="360"/>
      </w:pPr>
    </w:lvl>
    <w:lvl w:ilvl="8" w:tplc="39D89DC6">
      <w:start w:val="1"/>
      <w:numFmt w:val="lowerRoman"/>
      <w:lvlText w:val="%9."/>
      <w:lvlJc w:val="right"/>
      <w:pPr>
        <w:ind w:left="6480" w:hanging="180"/>
      </w:pPr>
    </w:lvl>
  </w:abstractNum>
  <w:abstractNum w:abstractNumId="6" w15:restartNumberingAfterBreak="0">
    <w:nsid w:val="2DF123C2"/>
    <w:multiLevelType w:val="hybridMultilevel"/>
    <w:tmpl w:val="1700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E54EA"/>
    <w:multiLevelType w:val="multilevel"/>
    <w:tmpl w:val="C144D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00A01"/>
    <w:multiLevelType w:val="multilevel"/>
    <w:tmpl w:val="D3365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C0AA2"/>
    <w:multiLevelType w:val="hybridMultilevel"/>
    <w:tmpl w:val="2AAE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43487"/>
    <w:multiLevelType w:val="hybridMultilevel"/>
    <w:tmpl w:val="9650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96980"/>
    <w:multiLevelType w:val="hybridMultilevel"/>
    <w:tmpl w:val="37504A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B42A1"/>
    <w:multiLevelType w:val="multilevel"/>
    <w:tmpl w:val="D53CD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54CE0"/>
    <w:multiLevelType w:val="hybridMultilevel"/>
    <w:tmpl w:val="F226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F1FBB"/>
    <w:multiLevelType w:val="multilevel"/>
    <w:tmpl w:val="2044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B0942"/>
    <w:multiLevelType w:val="multilevel"/>
    <w:tmpl w:val="B87C0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83C56"/>
    <w:multiLevelType w:val="multilevel"/>
    <w:tmpl w:val="D0CA8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CB3986"/>
    <w:multiLevelType w:val="multilevel"/>
    <w:tmpl w:val="EE249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044CA"/>
    <w:multiLevelType w:val="multilevel"/>
    <w:tmpl w:val="85FA4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A5CE8"/>
    <w:multiLevelType w:val="hybridMultilevel"/>
    <w:tmpl w:val="FCA0444C"/>
    <w:lvl w:ilvl="0" w:tplc="F216FE2A">
      <w:start w:val="1"/>
      <w:numFmt w:val="bullet"/>
      <w:lvlText w:val="-"/>
      <w:lvlJc w:val="left"/>
      <w:pPr>
        <w:ind w:left="720" w:hanging="360"/>
      </w:pPr>
      <w:rPr>
        <w:rFonts w:ascii="Courier"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15DE3"/>
    <w:multiLevelType w:val="multilevel"/>
    <w:tmpl w:val="262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4428B"/>
    <w:multiLevelType w:val="multilevel"/>
    <w:tmpl w:val="396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915720"/>
    <w:multiLevelType w:val="multilevel"/>
    <w:tmpl w:val="764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909785">
    <w:abstractNumId w:val="21"/>
  </w:num>
  <w:num w:numId="2" w16cid:durableId="1656759202">
    <w:abstractNumId w:val="16"/>
  </w:num>
  <w:num w:numId="3" w16cid:durableId="1960335447">
    <w:abstractNumId w:val="9"/>
  </w:num>
  <w:num w:numId="4" w16cid:durableId="532763851">
    <w:abstractNumId w:val="6"/>
  </w:num>
  <w:num w:numId="5" w16cid:durableId="1254515036">
    <w:abstractNumId w:val="10"/>
  </w:num>
  <w:num w:numId="6" w16cid:durableId="354310307">
    <w:abstractNumId w:val="4"/>
  </w:num>
  <w:num w:numId="7" w16cid:durableId="1867792153">
    <w:abstractNumId w:val="13"/>
  </w:num>
  <w:num w:numId="8" w16cid:durableId="266427142">
    <w:abstractNumId w:val="5"/>
  </w:num>
  <w:num w:numId="9" w16cid:durableId="1733039047">
    <w:abstractNumId w:val="11"/>
  </w:num>
  <w:num w:numId="10" w16cid:durableId="1172336871">
    <w:abstractNumId w:val="3"/>
  </w:num>
  <w:num w:numId="11" w16cid:durableId="915676264">
    <w:abstractNumId w:val="2"/>
  </w:num>
  <w:num w:numId="12" w16cid:durableId="1906524592">
    <w:abstractNumId w:val="0"/>
  </w:num>
  <w:num w:numId="13" w16cid:durableId="13700198">
    <w:abstractNumId w:val="15"/>
  </w:num>
  <w:num w:numId="14" w16cid:durableId="459300291">
    <w:abstractNumId w:val="20"/>
  </w:num>
  <w:num w:numId="15" w16cid:durableId="776873499">
    <w:abstractNumId w:val="22"/>
  </w:num>
  <w:num w:numId="16" w16cid:durableId="890262923">
    <w:abstractNumId w:val="1"/>
  </w:num>
  <w:num w:numId="17" w16cid:durableId="1247417732">
    <w:abstractNumId w:val="8"/>
  </w:num>
  <w:num w:numId="18" w16cid:durableId="379400542">
    <w:abstractNumId w:val="12"/>
  </w:num>
  <w:num w:numId="19" w16cid:durableId="640232440">
    <w:abstractNumId w:val="17"/>
  </w:num>
  <w:num w:numId="20" w16cid:durableId="263273197">
    <w:abstractNumId w:val="18"/>
  </w:num>
  <w:num w:numId="21" w16cid:durableId="317268104">
    <w:abstractNumId w:val="7"/>
  </w:num>
  <w:num w:numId="22" w16cid:durableId="959651751">
    <w:abstractNumId w:val="19"/>
  </w:num>
  <w:num w:numId="23" w16cid:durableId="2098163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21"/>
    <w:rsid w:val="000011DD"/>
    <w:rsid w:val="00006000"/>
    <w:rsid w:val="00037323"/>
    <w:rsid w:val="00050116"/>
    <w:rsid w:val="00064659"/>
    <w:rsid w:val="00066428"/>
    <w:rsid w:val="00072C94"/>
    <w:rsid w:val="00074767"/>
    <w:rsid w:val="000775F4"/>
    <w:rsid w:val="00094C10"/>
    <w:rsid w:val="000B7D5D"/>
    <w:rsid w:val="000D4079"/>
    <w:rsid w:val="000D59CD"/>
    <w:rsid w:val="000E354E"/>
    <w:rsid w:val="000F07CC"/>
    <w:rsid w:val="000F43DD"/>
    <w:rsid w:val="000F4A7C"/>
    <w:rsid w:val="000F503A"/>
    <w:rsid w:val="00101BF2"/>
    <w:rsid w:val="0010200A"/>
    <w:rsid w:val="00105D4A"/>
    <w:rsid w:val="00106A87"/>
    <w:rsid w:val="00117501"/>
    <w:rsid w:val="0012615E"/>
    <w:rsid w:val="00136B10"/>
    <w:rsid w:val="00152AB4"/>
    <w:rsid w:val="00160BC0"/>
    <w:rsid w:val="00162C0A"/>
    <w:rsid w:val="0017538C"/>
    <w:rsid w:val="00181FD9"/>
    <w:rsid w:val="001C73E1"/>
    <w:rsid w:val="001E237C"/>
    <w:rsid w:val="001E6DBF"/>
    <w:rsid w:val="001E7178"/>
    <w:rsid w:val="001F4E1A"/>
    <w:rsid w:val="001F792E"/>
    <w:rsid w:val="0020044E"/>
    <w:rsid w:val="00226E65"/>
    <w:rsid w:val="002327C9"/>
    <w:rsid w:val="00236E09"/>
    <w:rsid w:val="00263127"/>
    <w:rsid w:val="00270277"/>
    <w:rsid w:val="00273F37"/>
    <w:rsid w:val="00286935"/>
    <w:rsid w:val="002A2A16"/>
    <w:rsid w:val="002A7A09"/>
    <w:rsid w:val="002B0C19"/>
    <w:rsid w:val="002D4244"/>
    <w:rsid w:val="002D69B1"/>
    <w:rsid w:val="002D7921"/>
    <w:rsid w:val="002E061A"/>
    <w:rsid w:val="00300EF7"/>
    <w:rsid w:val="00302597"/>
    <w:rsid w:val="00323642"/>
    <w:rsid w:val="0032491D"/>
    <w:rsid w:val="003319C8"/>
    <w:rsid w:val="00332770"/>
    <w:rsid w:val="00333E16"/>
    <w:rsid w:val="00340479"/>
    <w:rsid w:val="00343220"/>
    <w:rsid w:val="0034368C"/>
    <w:rsid w:val="00366111"/>
    <w:rsid w:val="003848A9"/>
    <w:rsid w:val="003A2918"/>
    <w:rsid w:val="003A3773"/>
    <w:rsid w:val="003B34BA"/>
    <w:rsid w:val="003B5E02"/>
    <w:rsid w:val="003C1380"/>
    <w:rsid w:val="003C54E0"/>
    <w:rsid w:val="003D3D8B"/>
    <w:rsid w:val="003D4B16"/>
    <w:rsid w:val="003E00A8"/>
    <w:rsid w:val="003E0BB4"/>
    <w:rsid w:val="003E41E3"/>
    <w:rsid w:val="003E6FFE"/>
    <w:rsid w:val="003E704F"/>
    <w:rsid w:val="003F12BA"/>
    <w:rsid w:val="003F778C"/>
    <w:rsid w:val="00401DB8"/>
    <w:rsid w:val="00420ED5"/>
    <w:rsid w:val="004219B8"/>
    <w:rsid w:val="00446E34"/>
    <w:rsid w:val="00451B14"/>
    <w:rsid w:val="004574CC"/>
    <w:rsid w:val="004736FD"/>
    <w:rsid w:val="00486B51"/>
    <w:rsid w:val="00490631"/>
    <w:rsid w:val="004C725C"/>
    <w:rsid w:val="004E3672"/>
    <w:rsid w:val="004F5D2E"/>
    <w:rsid w:val="004F5DD1"/>
    <w:rsid w:val="00540754"/>
    <w:rsid w:val="005470D2"/>
    <w:rsid w:val="0055494B"/>
    <w:rsid w:val="005660BC"/>
    <w:rsid w:val="00575CD9"/>
    <w:rsid w:val="0058103B"/>
    <w:rsid w:val="0058469E"/>
    <w:rsid w:val="00586033"/>
    <w:rsid w:val="0058689E"/>
    <w:rsid w:val="00595E6E"/>
    <w:rsid w:val="005B5D9E"/>
    <w:rsid w:val="005B637A"/>
    <w:rsid w:val="005C24CB"/>
    <w:rsid w:val="005D01B1"/>
    <w:rsid w:val="005D249D"/>
    <w:rsid w:val="005D45CA"/>
    <w:rsid w:val="0060734C"/>
    <w:rsid w:val="00622F05"/>
    <w:rsid w:val="006279D8"/>
    <w:rsid w:val="00635136"/>
    <w:rsid w:val="00644A28"/>
    <w:rsid w:val="00652509"/>
    <w:rsid w:val="006710B2"/>
    <w:rsid w:val="00672F10"/>
    <w:rsid w:val="00674027"/>
    <w:rsid w:val="00674BC8"/>
    <w:rsid w:val="006813E8"/>
    <w:rsid w:val="00692D88"/>
    <w:rsid w:val="00695391"/>
    <w:rsid w:val="006A4273"/>
    <w:rsid w:val="006A5154"/>
    <w:rsid w:val="006B3C0F"/>
    <w:rsid w:val="006C6C0A"/>
    <w:rsid w:val="006D5F14"/>
    <w:rsid w:val="006E2047"/>
    <w:rsid w:val="006E6331"/>
    <w:rsid w:val="006F3D6A"/>
    <w:rsid w:val="007078A1"/>
    <w:rsid w:val="007210AD"/>
    <w:rsid w:val="00721E6E"/>
    <w:rsid w:val="00735D6B"/>
    <w:rsid w:val="00742DFB"/>
    <w:rsid w:val="00743630"/>
    <w:rsid w:val="007449DC"/>
    <w:rsid w:val="00771737"/>
    <w:rsid w:val="0077314E"/>
    <w:rsid w:val="00784CC4"/>
    <w:rsid w:val="007B74C0"/>
    <w:rsid w:val="007E1419"/>
    <w:rsid w:val="007F15FF"/>
    <w:rsid w:val="007F39DF"/>
    <w:rsid w:val="008046D2"/>
    <w:rsid w:val="0082114C"/>
    <w:rsid w:val="00823F26"/>
    <w:rsid w:val="008249E4"/>
    <w:rsid w:val="00850E80"/>
    <w:rsid w:val="0085560A"/>
    <w:rsid w:val="00864128"/>
    <w:rsid w:val="00877376"/>
    <w:rsid w:val="00883AEA"/>
    <w:rsid w:val="00890588"/>
    <w:rsid w:val="008B22BD"/>
    <w:rsid w:val="008C6761"/>
    <w:rsid w:val="008D76A0"/>
    <w:rsid w:val="008E6D24"/>
    <w:rsid w:val="008F1259"/>
    <w:rsid w:val="008F5339"/>
    <w:rsid w:val="009018A7"/>
    <w:rsid w:val="00926C4D"/>
    <w:rsid w:val="00927244"/>
    <w:rsid w:val="00927C78"/>
    <w:rsid w:val="009321E6"/>
    <w:rsid w:val="009648C9"/>
    <w:rsid w:val="009668E0"/>
    <w:rsid w:val="00970812"/>
    <w:rsid w:val="00973880"/>
    <w:rsid w:val="00976C34"/>
    <w:rsid w:val="00993A67"/>
    <w:rsid w:val="00993AF5"/>
    <w:rsid w:val="00997C3C"/>
    <w:rsid w:val="009A2E24"/>
    <w:rsid w:val="009A4B2D"/>
    <w:rsid w:val="009A76D7"/>
    <w:rsid w:val="009B0D28"/>
    <w:rsid w:val="009C0B2C"/>
    <w:rsid w:val="009C4196"/>
    <w:rsid w:val="009C618C"/>
    <w:rsid w:val="009E59E3"/>
    <w:rsid w:val="00A105EF"/>
    <w:rsid w:val="00A13B6C"/>
    <w:rsid w:val="00A219B0"/>
    <w:rsid w:val="00A2345E"/>
    <w:rsid w:val="00A51D98"/>
    <w:rsid w:val="00A60086"/>
    <w:rsid w:val="00A6472B"/>
    <w:rsid w:val="00A66358"/>
    <w:rsid w:val="00A67E20"/>
    <w:rsid w:val="00A8080D"/>
    <w:rsid w:val="00A83189"/>
    <w:rsid w:val="00A92B47"/>
    <w:rsid w:val="00A93DC9"/>
    <w:rsid w:val="00A94E7D"/>
    <w:rsid w:val="00AA1393"/>
    <w:rsid w:val="00AA2E2C"/>
    <w:rsid w:val="00AA4367"/>
    <w:rsid w:val="00AB34C5"/>
    <w:rsid w:val="00AB482E"/>
    <w:rsid w:val="00AC52FD"/>
    <w:rsid w:val="00AD15E6"/>
    <w:rsid w:val="00AD25F3"/>
    <w:rsid w:val="00AD50C8"/>
    <w:rsid w:val="00AD60D6"/>
    <w:rsid w:val="00AE0526"/>
    <w:rsid w:val="00AE0A3A"/>
    <w:rsid w:val="00AE36AB"/>
    <w:rsid w:val="00AE56C8"/>
    <w:rsid w:val="00AF43D0"/>
    <w:rsid w:val="00AF5CE8"/>
    <w:rsid w:val="00B1326D"/>
    <w:rsid w:val="00B26A52"/>
    <w:rsid w:val="00B32403"/>
    <w:rsid w:val="00B41D01"/>
    <w:rsid w:val="00B433E1"/>
    <w:rsid w:val="00B52309"/>
    <w:rsid w:val="00B710A5"/>
    <w:rsid w:val="00B726FC"/>
    <w:rsid w:val="00B770F8"/>
    <w:rsid w:val="00B8006E"/>
    <w:rsid w:val="00B91215"/>
    <w:rsid w:val="00BB178F"/>
    <w:rsid w:val="00BD4D34"/>
    <w:rsid w:val="00BE26CF"/>
    <w:rsid w:val="00C00413"/>
    <w:rsid w:val="00C01F04"/>
    <w:rsid w:val="00C05FD5"/>
    <w:rsid w:val="00C1383B"/>
    <w:rsid w:val="00C169B2"/>
    <w:rsid w:val="00C21A92"/>
    <w:rsid w:val="00C24DC6"/>
    <w:rsid w:val="00C301A1"/>
    <w:rsid w:val="00C367C2"/>
    <w:rsid w:val="00C5180A"/>
    <w:rsid w:val="00C62098"/>
    <w:rsid w:val="00C73894"/>
    <w:rsid w:val="00C938A3"/>
    <w:rsid w:val="00C93F5A"/>
    <w:rsid w:val="00C94CC8"/>
    <w:rsid w:val="00CA5B6B"/>
    <w:rsid w:val="00CD3292"/>
    <w:rsid w:val="00CF13C4"/>
    <w:rsid w:val="00D0293D"/>
    <w:rsid w:val="00D049CE"/>
    <w:rsid w:val="00D2284E"/>
    <w:rsid w:val="00D22E99"/>
    <w:rsid w:val="00D30B17"/>
    <w:rsid w:val="00D34D62"/>
    <w:rsid w:val="00D35907"/>
    <w:rsid w:val="00D41C8E"/>
    <w:rsid w:val="00D46E4B"/>
    <w:rsid w:val="00D711A0"/>
    <w:rsid w:val="00D717FA"/>
    <w:rsid w:val="00DB21D3"/>
    <w:rsid w:val="00DB5924"/>
    <w:rsid w:val="00DC055A"/>
    <w:rsid w:val="00DE4BBB"/>
    <w:rsid w:val="00DF1D60"/>
    <w:rsid w:val="00E01E83"/>
    <w:rsid w:val="00E073E7"/>
    <w:rsid w:val="00E13105"/>
    <w:rsid w:val="00E167D4"/>
    <w:rsid w:val="00E16B16"/>
    <w:rsid w:val="00E30DCD"/>
    <w:rsid w:val="00E36A60"/>
    <w:rsid w:val="00E429FB"/>
    <w:rsid w:val="00E457B7"/>
    <w:rsid w:val="00E51ED1"/>
    <w:rsid w:val="00E64915"/>
    <w:rsid w:val="00E8370F"/>
    <w:rsid w:val="00E92C6E"/>
    <w:rsid w:val="00EA386A"/>
    <w:rsid w:val="00EA7994"/>
    <w:rsid w:val="00EB0DA5"/>
    <w:rsid w:val="00EB786B"/>
    <w:rsid w:val="00ED1D90"/>
    <w:rsid w:val="00EE41C1"/>
    <w:rsid w:val="00EE79FE"/>
    <w:rsid w:val="00F06BB0"/>
    <w:rsid w:val="00F211B6"/>
    <w:rsid w:val="00F373FF"/>
    <w:rsid w:val="00F46E6C"/>
    <w:rsid w:val="00F84435"/>
    <w:rsid w:val="00F9473A"/>
    <w:rsid w:val="00F95D79"/>
    <w:rsid w:val="00FA3213"/>
    <w:rsid w:val="00FE138E"/>
    <w:rsid w:val="00FF77A1"/>
    <w:rsid w:val="0485EF6E"/>
    <w:rsid w:val="07A4C750"/>
    <w:rsid w:val="084843DB"/>
    <w:rsid w:val="0D6F3D41"/>
    <w:rsid w:val="0EF8DEB0"/>
    <w:rsid w:val="0F089096"/>
    <w:rsid w:val="1310745D"/>
    <w:rsid w:val="1CAD86B4"/>
    <w:rsid w:val="1D629E4E"/>
    <w:rsid w:val="20D0D7BA"/>
    <w:rsid w:val="23897AA0"/>
    <w:rsid w:val="2D0378B5"/>
    <w:rsid w:val="2D862B2E"/>
    <w:rsid w:val="3080A59F"/>
    <w:rsid w:val="30838026"/>
    <w:rsid w:val="31E87952"/>
    <w:rsid w:val="355C2BA5"/>
    <w:rsid w:val="36332F75"/>
    <w:rsid w:val="37B1C68C"/>
    <w:rsid w:val="3B868E9A"/>
    <w:rsid w:val="3E196B4A"/>
    <w:rsid w:val="418D7339"/>
    <w:rsid w:val="42C6C5A5"/>
    <w:rsid w:val="457ACB79"/>
    <w:rsid w:val="48DE58A0"/>
    <w:rsid w:val="4C976C47"/>
    <w:rsid w:val="548A2575"/>
    <w:rsid w:val="556CC709"/>
    <w:rsid w:val="57DF0F58"/>
    <w:rsid w:val="5EC1AC4C"/>
    <w:rsid w:val="6CC738BE"/>
    <w:rsid w:val="6F56C4BB"/>
    <w:rsid w:val="73E86B57"/>
    <w:rsid w:val="741C96BA"/>
    <w:rsid w:val="74BE9BD2"/>
    <w:rsid w:val="755A0153"/>
    <w:rsid w:val="7603D3F1"/>
    <w:rsid w:val="78286355"/>
    <w:rsid w:val="7CDDF2C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DFD88DB"/>
  <w15:docId w15:val="{8BDED83B-3589-43BA-B61F-F0895161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4B"/>
    <w:rPr>
      <w:sz w:val="24"/>
      <w:szCs w:val="24"/>
    </w:rPr>
  </w:style>
  <w:style w:type="paragraph" w:styleId="Heading1">
    <w:name w:val="heading 1"/>
    <w:basedOn w:val="Normal"/>
    <w:next w:val="Normal"/>
    <w:link w:val="Heading1Char"/>
    <w:uiPriority w:val="9"/>
    <w:qFormat/>
    <w:rsid w:val="005D45CA"/>
    <w:pPr>
      <w:keepNext/>
      <w:keepLines/>
      <w:spacing w:before="240" w:after="0"/>
      <w:outlineLvl w:val="0"/>
    </w:pPr>
    <w:rPr>
      <w:rFonts w:asciiTheme="majorHAnsi" w:eastAsiaTheme="majorEastAsia" w:hAnsiTheme="majorHAnsi" w:cstheme="majorBidi"/>
      <w:color w:val="064C84" w:themeColor="accent1" w:themeShade="BF"/>
      <w:sz w:val="32"/>
      <w:szCs w:val="32"/>
    </w:rPr>
  </w:style>
  <w:style w:type="paragraph" w:styleId="Heading2">
    <w:name w:val="heading 2"/>
    <w:basedOn w:val="Normal"/>
    <w:next w:val="Normal"/>
    <w:link w:val="Heading2Char"/>
    <w:uiPriority w:val="9"/>
    <w:unhideWhenUsed/>
    <w:qFormat/>
    <w:rsid w:val="00C5180A"/>
    <w:pPr>
      <w:keepNext/>
      <w:keepLines/>
      <w:spacing w:before="40" w:after="0"/>
      <w:outlineLvl w:val="1"/>
    </w:pPr>
    <w:rPr>
      <w:rFonts w:asciiTheme="majorHAnsi" w:eastAsiaTheme="majorEastAsia" w:hAnsiTheme="majorHAnsi" w:cstheme="majorBidi"/>
      <w:color w:val="064C84" w:themeColor="accent1" w:themeShade="BF"/>
      <w:sz w:val="26"/>
      <w:szCs w:val="26"/>
    </w:rPr>
  </w:style>
  <w:style w:type="paragraph" w:styleId="Heading3">
    <w:name w:val="heading 3"/>
    <w:basedOn w:val="Normal"/>
    <w:next w:val="Normal"/>
    <w:link w:val="Heading3Char"/>
    <w:uiPriority w:val="9"/>
    <w:unhideWhenUsed/>
    <w:qFormat/>
    <w:rsid w:val="00C5180A"/>
    <w:pPr>
      <w:keepNext/>
      <w:keepLines/>
      <w:spacing w:before="40" w:after="0"/>
      <w:outlineLvl w:val="2"/>
    </w:pPr>
    <w:rPr>
      <w:rFonts w:asciiTheme="majorHAnsi" w:eastAsiaTheme="majorEastAsia" w:hAnsiTheme="majorHAnsi" w:cstheme="majorBidi"/>
      <w:color w:val="043257" w:themeColor="accent1" w:themeShade="7F"/>
    </w:rPr>
  </w:style>
  <w:style w:type="paragraph" w:styleId="Heading4">
    <w:name w:val="heading 4"/>
    <w:basedOn w:val="Normal"/>
    <w:next w:val="Normal"/>
    <w:link w:val="Heading4Char"/>
    <w:uiPriority w:val="9"/>
    <w:semiHidden/>
    <w:unhideWhenUsed/>
    <w:qFormat/>
    <w:rsid w:val="00C5180A"/>
    <w:pPr>
      <w:keepNext/>
      <w:keepLines/>
      <w:spacing w:before="40" w:after="0"/>
      <w:outlineLvl w:val="3"/>
    </w:pPr>
    <w:rPr>
      <w:rFonts w:asciiTheme="majorHAnsi" w:eastAsiaTheme="majorEastAsia" w:hAnsiTheme="majorHAnsi" w:cstheme="majorBidi"/>
      <w:i/>
      <w:iCs/>
      <w:color w:val="064C84" w:themeColor="accent1" w:themeShade="BF"/>
    </w:rPr>
  </w:style>
  <w:style w:type="paragraph" w:styleId="Heading5">
    <w:name w:val="heading 5"/>
    <w:basedOn w:val="Normal"/>
    <w:next w:val="Normal"/>
    <w:link w:val="Heading5Char"/>
    <w:uiPriority w:val="9"/>
    <w:semiHidden/>
    <w:unhideWhenUsed/>
    <w:qFormat/>
    <w:rsid w:val="007F15FF"/>
    <w:pPr>
      <w:keepNext/>
      <w:keepLines/>
      <w:spacing w:before="40" w:after="0"/>
      <w:outlineLvl w:val="4"/>
    </w:pPr>
    <w:rPr>
      <w:rFonts w:asciiTheme="majorHAnsi" w:eastAsiaTheme="majorEastAsia" w:hAnsiTheme="majorHAnsi" w:cstheme="majorBidi"/>
      <w:color w:val="064C84" w:themeColor="accent1" w:themeShade="BF"/>
    </w:rPr>
  </w:style>
  <w:style w:type="paragraph" w:styleId="Heading6">
    <w:name w:val="heading 6"/>
    <w:basedOn w:val="Normal"/>
    <w:next w:val="Normal"/>
    <w:link w:val="Heading6Char"/>
    <w:uiPriority w:val="9"/>
    <w:semiHidden/>
    <w:unhideWhenUsed/>
    <w:qFormat/>
    <w:rsid w:val="007F15FF"/>
    <w:pPr>
      <w:keepNext/>
      <w:keepLines/>
      <w:spacing w:before="40" w:after="0"/>
      <w:outlineLvl w:val="5"/>
    </w:pPr>
    <w:rPr>
      <w:rFonts w:asciiTheme="majorHAnsi" w:eastAsiaTheme="majorEastAsia" w:hAnsiTheme="majorHAnsi" w:cstheme="majorBidi"/>
      <w:color w:val="043257" w:themeColor="accent1" w:themeShade="7F"/>
    </w:rPr>
  </w:style>
  <w:style w:type="paragraph" w:styleId="Heading7">
    <w:name w:val="heading 7"/>
    <w:basedOn w:val="Normal"/>
    <w:next w:val="Normal"/>
    <w:link w:val="Heading7Char"/>
    <w:uiPriority w:val="9"/>
    <w:semiHidden/>
    <w:unhideWhenUsed/>
    <w:qFormat/>
    <w:rsid w:val="007F15FF"/>
    <w:pPr>
      <w:keepNext/>
      <w:keepLines/>
      <w:spacing w:before="40" w:after="0"/>
      <w:outlineLvl w:val="6"/>
    </w:pPr>
    <w:rPr>
      <w:rFonts w:asciiTheme="majorHAnsi" w:eastAsiaTheme="majorEastAsia" w:hAnsiTheme="majorHAnsi" w:cstheme="majorBidi"/>
      <w:i/>
      <w:iCs/>
      <w:color w:val="04325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qFormat/>
    <w:rsid w:val="00644A28"/>
    <w:pPr>
      <w:spacing w:after="0"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qFormat/>
    <w:rsid w:val="00743630"/>
    <w:pPr>
      <w:spacing w:after="0" w:line="240" w:lineRule="exact"/>
    </w:pPr>
    <w:rPr>
      <w:b/>
      <w:noProof/>
      <w:color w:val="000000" w:themeColor="text2"/>
      <w:lang w:val="en-US" w:eastAsia="en-US"/>
    </w:rPr>
  </w:style>
  <w:style w:type="paragraph" w:customStyle="1" w:styleId="03Title">
    <w:name w:val="03_Title"/>
    <w:qFormat/>
    <w:rsid w:val="00644A28"/>
    <w:pPr>
      <w:spacing w:after="0" w:line="240" w:lineRule="exact"/>
    </w:pPr>
    <w:rPr>
      <w:b/>
      <w:color w:val="000000" w:themeColor="text2"/>
    </w:rPr>
  </w:style>
  <w:style w:type="paragraph" w:customStyle="1" w:styleId="04companyName">
    <w:name w:val="04_company Name"/>
    <w:qFormat/>
    <w:rsid w:val="00644A28"/>
    <w:pPr>
      <w:spacing w:before="240" w:after="0" w:line="240" w:lineRule="exact"/>
    </w:pPr>
    <w:rPr>
      <w:b/>
      <w:color w:val="000000" w:themeColor="text2"/>
    </w:rPr>
  </w:style>
  <w:style w:type="paragraph" w:customStyle="1" w:styleId="05Addressandtitle">
    <w:name w:val="05_Address and title"/>
    <w:qFormat/>
    <w:rsid w:val="00644A28"/>
    <w:pPr>
      <w:spacing w:after="0"/>
    </w:pPr>
    <w:rPr>
      <w:color w:val="000000" w:themeColor="text2"/>
    </w:rPr>
  </w:style>
  <w:style w:type="paragraph" w:customStyle="1" w:styleId="06Subjectofletter">
    <w:name w:val="06_Subject of letter"/>
    <w:qFormat/>
    <w:rsid w:val="00644A28"/>
    <w:pPr>
      <w:spacing w:before="640" w:after="0"/>
    </w:pPr>
    <w:rPr>
      <w:b/>
      <w:color w:val="000000" w:themeColor="text2"/>
      <w:sz w:val="28"/>
      <w:szCs w:val="28"/>
    </w:rPr>
  </w:style>
  <w:style w:type="paragraph" w:customStyle="1" w:styleId="07DearSirMadam">
    <w:name w:val="07_Dear Sir/Madam"/>
    <w:qFormat/>
    <w:rsid w:val="00644A28"/>
    <w:pPr>
      <w:spacing w:before="450" w:after="0"/>
    </w:pPr>
    <w:rPr>
      <w:b/>
      <w:color w:val="000000" w:themeColor="text2"/>
    </w:rPr>
  </w:style>
  <w:style w:type="paragraph" w:customStyle="1" w:styleId="08Bodycopy">
    <w:name w:val="08_Body copy"/>
    <w:qFormat/>
    <w:rsid w:val="00644A28"/>
    <w:pPr>
      <w:spacing w:after="0"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paragraph" w:styleId="Title">
    <w:name w:val="Title"/>
    <w:basedOn w:val="Normal"/>
    <w:next w:val="Normal"/>
    <w:link w:val="TitleChar"/>
    <w:uiPriority w:val="10"/>
    <w:qFormat/>
    <w:rsid w:val="0055494B"/>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494B"/>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uiPriority w:val="99"/>
    <w:semiHidden/>
    <w:unhideWhenUsed/>
    <w:rsid w:val="00270277"/>
    <w:rPr>
      <w:sz w:val="16"/>
      <w:szCs w:val="16"/>
    </w:rPr>
  </w:style>
  <w:style w:type="paragraph" w:styleId="CommentText">
    <w:name w:val="annotation text"/>
    <w:basedOn w:val="Normal"/>
    <w:link w:val="CommentTextChar"/>
    <w:uiPriority w:val="99"/>
    <w:unhideWhenUsed/>
    <w:rsid w:val="00270277"/>
    <w:pPr>
      <w:spacing w:after="0"/>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70277"/>
    <w:rPr>
      <w:rFonts w:eastAsiaTheme="minorHAnsi"/>
      <w:kern w:val="2"/>
      <w:lang w:eastAsia="en-US"/>
      <w14:ligatures w14:val="standardContextual"/>
    </w:rPr>
  </w:style>
  <w:style w:type="character" w:styleId="UnresolvedMention">
    <w:name w:val="Unresolved Mention"/>
    <w:basedOn w:val="DefaultParagraphFont"/>
    <w:uiPriority w:val="99"/>
    <w:semiHidden/>
    <w:unhideWhenUsed/>
    <w:rsid w:val="00270277"/>
    <w:rPr>
      <w:color w:val="605E5C"/>
      <w:shd w:val="clear" w:color="auto" w:fill="E1DFDD"/>
    </w:rPr>
  </w:style>
  <w:style w:type="character" w:styleId="FollowedHyperlink">
    <w:name w:val="FollowedHyperlink"/>
    <w:basedOn w:val="DefaultParagraphFont"/>
    <w:uiPriority w:val="99"/>
    <w:semiHidden/>
    <w:unhideWhenUsed/>
    <w:rsid w:val="00784CC4"/>
    <w:rPr>
      <w:color w:val="13316E" w:themeColor="followedHyperlink"/>
      <w:u w:val="single"/>
    </w:rPr>
  </w:style>
  <w:style w:type="paragraph" w:styleId="Revision">
    <w:name w:val="Revision"/>
    <w:hidden/>
    <w:uiPriority w:val="99"/>
    <w:semiHidden/>
    <w:rsid w:val="00AD60D6"/>
    <w:pPr>
      <w:spacing w:after="0"/>
    </w:pPr>
    <w:rPr>
      <w:sz w:val="24"/>
      <w:szCs w:val="24"/>
    </w:rPr>
  </w:style>
  <w:style w:type="character" w:customStyle="1" w:styleId="Heading1Char">
    <w:name w:val="Heading 1 Char"/>
    <w:basedOn w:val="DefaultParagraphFont"/>
    <w:link w:val="Heading1"/>
    <w:uiPriority w:val="9"/>
    <w:rsid w:val="005D45CA"/>
    <w:rPr>
      <w:rFonts w:asciiTheme="majorHAnsi" w:eastAsiaTheme="majorEastAsia" w:hAnsiTheme="majorHAnsi" w:cstheme="majorBidi"/>
      <w:color w:val="064C84" w:themeColor="accent1" w:themeShade="BF"/>
      <w:sz w:val="32"/>
      <w:szCs w:val="32"/>
    </w:rPr>
  </w:style>
  <w:style w:type="character" w:customStyle="1" w:styleId="Heading2Char">
    <w:name w:val="Heading 2 Char"/>
    <w:basedOn w:val="DefaultParagraphFont"/>
    <w:link w:val="Heading2"/>
    <w:uiPriority w:val="9"/>
    <w:rsid w:val="00C5180A"/>
    <w:rPr>
      <w:rFonts w:asciiTheme="majorHAnsi" w:eastAsiaTheme="majorEastAsia" w:hAnsiTheme="majorHAnsi" w:cstheme="majorBidi"/>
      <w:color w:val="064C84" w:themeColor="accent1" w:themeShade="BF"/>
      <w:sz w:val="26"/>
      <w:szCs w:val="26"/>
    </w:rPr>
  </w:style>
  <w:style w:type="character" w:customStyle="1" w:styleId="Heading3Char">
    <w:name w:val="Heading 3 Char"/>
    <w:basedOn w:val="DefaultParagraphFont"/>
    <w:link w:val="Heading3"/>
    <w:uiPriority w:val="9"/>
    <w:rsid w:val="00C5180A"/>
    <w:rPr>
      <w:rFonts w:asciiTheme="majorHAnsi" w:eastAsiaTheme="majorEastAsia" w:hAnsiTheme="majorHAnsi" w:cstheme="majorBidi"/>
      <w:color w:val="043257" w:themeColor="accent1" w:themeShade="7F"/>
      <w:sz w:val="24"/>
      <w:szCs w:val="24"/>
    </w:rPr>
  </w:style>
  <w:style w:type="character" w:customStyle="1" w:styleId="Heading4Char">
    <w:name w:val="Heading 4 Char"/>
    <w:basedOn w:val="DefaultParagraphFont"/>
    <w:link w:val="Heading4"/>
    <w:uiPriority w:val="9"/>
    <w:semiHidden/>
    <w:rsid w:val="00C5180A"/>
    <w:rPr>
      <w:rFonts w:asciiTheme="majorHAnsi" w:eastAsiaTheme="majorEastAsia" w:hAnsiTheme="majorHAnsi" w:cstheme="majorBidi"/>
      <w:i/>
      <w:iCs/>
      <w:color w:val="064C84" w:themeColor="accent1" w:themeShade="BF"/>
      <w:sz w:val="24"/>
      <w:szCs w:val="24"/>
    </w:rPr>
  </w:style>
  <w:style w:type="paragraph" w:styleId="ListParagraph">
    <w:name w:val="List Paragraph"/>
    <w:basedOn w:val="Normal"/>
    <w:uiPriority w:val="34"/>
    <w:qFormat/>
    <w:rsid w:val="00C5180A"/>
    <w:pPr>
      <w:spacing w:after="160" w:line="278"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3F778C"/>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7F15FF"/>
    <w:rPr>
      <w:rFonts w:asciiTheme="majorHAnsi" w:eastAsiaTheme="majorEastAsia" w:hAnsiTheme="majorHAnsi" w:cstheme="majorBidi"/>
      <w:color w:val="064C84" w:themeColor="accent1" w:themeShade="BF"/>
      <w:sz w:val="24"/>
      <w:szCs w:val="24"/>
    </w:rPr>
  </w:style>
  <w:style w:type="character" w:customStyle="1" w:styleId="Heading6Char">
    <w:name w:val="Heading 6 Char"/>
    <w:basedOn w:val="DefaultParagraphFont"/>
    <w:link w:val="Heading6"/>
    <w:uiPriority w:val="9"/>
    <w:semiHidden/>
    <w:rsid w:val="007F15FF"/>
    <w:rPr>
      <w:rFonts w:asciiTheme="majorHAnsi" w:eastAsiaTheme="majorEastAsia" w:hAnsiTheme="majorHAnsi" w:cstheme="majorBidi"/>
      <w:color w:val="043257" w:themeColor="accent1" w:themeShade="7F"/>
      <w:sz w:val="24"/>
      <w:szCs w:val="24"/>
    </w:rPr>
  </w:style>
  <w:style w:type="character" w:customStyle="1" w:styleId="Heading7Char">
    <w:name w:val="Heading 7 Char"/>
    <w:basedOn w:val="DefaultParagraphFont"/>
    <w:link w:val="Heading7"/>
    <w:uiPriority w:val="9"/>
    <w:semiHidden/>
    <w:rsid w:val="007F15FF"/>
    <w:rPr>
      <w:rFonts w:asciiTheme="majorHAnsi" w:eastAsiaTheme="majorEastAsia" w:hAnsiTheme="majorHAnsi" w:cstheme="majorBidi"/>
      <w:i/>
      <w:iCs/>
      <w:color w:val="043257" w:themeColor="accent1" w:themeShade="7F"/>
      <w:sz w:val="24"/>
      <w:szCs w:val="24"/>
    </w:rPr>
  </w:style>
  <w:style w:type="table" w:styleId="TableGrid">
    <w:name w:val="Table Grid"/>
    <w:basedOn w:val="TableNormal"/>
    <w:uiPriority w:val="59"/>
    <w:rsid w:val="00AA1393"/>
    <w:pPr>
      <w:spacing w:after="0"/>
    </w:pPr>
    <w:rPr>
      <w:rFonts w:ascii="Calibri" w:eastAsia="MS Gothic"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2C94"/>
    <w:pPr>
      <w:spacing w:after="0"/>
    </w:pPr>
    <w:rPr>
      <w:rFonts w:ascii="Calibri" w:eastAsia="MS Gothic" w:hAnsi="Calibri" w:cs="Times New Roman"/>
      <w:sz w:val="20"/>
      <w:szCs w:val="20"/>
    </w:rPr>
  </w:style>
  <w:style w:type="character" w:customStyle="1" w:styleId="FootnoteTextChar">
    <w:name w:val="Footnote Text Char"/>
    <w:basedOn w:val="DefaultParagraphFont"/>
    <w:link w:val="FootnoteText"/>
    <w:uiPriority w:val="99"/>
    <w:semiHidden/>
    <w:rsid w:val="00072C94"/>
    <w:rPr>
      <w:rFonts w:ascii="Calibri" w:eastAsia="MS Gothic" w:hAnsi="Calibri" w:cs="Times New Roman"/>
    </w:rPr>
  </w:style>
  <w:style w:type="character" w:styleId="FootnoteReference">
    <w:name w:val="footnote reference"/>
    <w:basedOn w:val="DefaultParagraphFont"/>
    <w:uiPriority w:val="99"/>
    <w:semiHidden/>
    <w:unhideWhenUsed/>
    <w:rsid w:val="00072C94"/>
    <w:rPr>
      <w:vertAlign w:val="superscript"/>
    </w:rPr>
  </w:style>
  <w:style w:type="paragraph" w:styleId="EndnoteText">
    <w:name w:val="endnote text"/>
    <w:basedOn w:val="Normal"/>
    <w:link w:val="EndnoteTextChar"/>
    <w:uiPriority w:val="99"/>
    <w:semiHidden/>
    <w:unhideWhenUsed/>
    <w:rsid w:val="00072C94"/>
    <w:pPr>
      <w:spacing w:after="0"/>
    </w:pPr>
    <w:rPr>
      <w:rFonts w:ascii="Calibri" w:eastAsia="MS Gothic" w:hAnsi="Calibri" w:cs="Times New Roman"/>
      <w:sz w:val="20"/>
      <w:szCs w:val="20"/>
    </w:rPr>
  </w:style>
  <w:style w:type="character" w:customStyle="1" w:styleId="EndnoteTextChar">
    <w:name w:val="Endnote Text Char"/>
    <w:basedOn w:val="DefaultParagraphFont"/>
    <w:link w:val="EndnoteText"/>
    <w:uiPriority w:val="99"/>
    <w:semiHidden/>
    <w:rsid w:val="00072C94"/>
    <w:rPr>
      <w:rFonts w:ascii="Calibri" w:eastAsia="MS Gothic" w:hAnsi="Calibri" w:cs="Times New Roman"/>
    </w:rPr>
  </w:style>
  <w:style w:type="character" w:styleId="EndnoteReference">
    <w:name w:val="endnote reference"/>
    <w:basedOn w:val="DefaultParagraphFont"/>
    <w:uiPriority w:val="99"/>
    <w:semiHidden/>
    <w:unhideWhenUsed/>
    <w:rsid w:val="00072C94"/>
    <w:rPr>
      <w:vertAlign w:val="superscript"/>
    </w:rPr>
  </w:style>
  <w:style w:type="paragraph" w:styleId="TOCHeading">
    <w:name w:val="TOC Heading"/>
    <w:basedOn w:val="Heading1"/>
    <w:next w:val="Normal"/>
    <w:uiPriority w:val="39"/>
    <w:unhideWhenUsed/>
    <w:qFormat/>
    <w:rsid w:val="00A83189"/>
    <w:pPr>
      <w:spacing w:line="259" w:lineRule="auto"/>
      <w:outlineLvl w:val="9"/>
    </w:pPr>
    <w:rPr>
      <w:lang w:val="en-US" w:eastAsia="en-US"/>
    </w:rPr>
  </w:style>
  <w:style w:type="paragraph" w:styleId="TOC1">
    <w:name w:val="toc 1"/>
    <w:basedOn w:val="Normal"/>
    <w:next w:val="Normal"/>
    <w:autoRedefine/>
    <w:uiPriority w:val="39"/>
    <w:unhideWhenUsed/>
    <w:rsid w:val="00A831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17542">
      <w:bodyDiv w:val="1"/>
      <w:marLeft w:val="0"/>
      <w:marRight w:val="0"/>
      <w:marTop w:val="0"/>
      <w:marBottom w:val="0"/>
      <w:divBdr>
        <w:top w:val="none" w:sz="0" w:space="0" w:color="auto"/>
        <w:left w:val="none" w:sz="0" w:space="0" w:color="auto"/>
        <w:bottom w:val="none" w:sz="0" w:space="0" w:color="auto"/>
        <w:right w:val="none" w:sz="0" w:space="0" w:color="auto"/>
      </w:divBdr>
    </w:div>
    <w:div w:id="329796512">
      <w:bodyDiv w:val="1"/>
      <w:marLeft w:val="0"/>
      <w:marRight w:val="0"/>
      <w:marTop w:val="0"/>
      <w:marBottom w:val="0"/>
      <w:divBdr>
        <w:top w:val="none" w:sz="0" w:space="0" w:color="auto"/>
        <w:left w:val="none" w:sz="0" w:space="0" w:color="auto"/>
        <w:bottom w:val="none" w:sz="0" w:space="0" w:color="auto"/>
        <w:right w:val="none" w:sz="0" w:space="0" w:color="auto"/>
      </w:divBdr>
    </w:div>
    <w:div w:id="695349251">
      <w:bodyDiv w:val="1"/>
      <w:marLeft w:val="0"/>
      <w:marRight w:val="0"/>
      <w:marTop w:val="0"/>
      <w:marBottom w:val="0"/>
      <w:divBdr>
        <w:top w:val="none" w:sz="0" w:space="0" w:color="auto"/>
        <w:left w:val="none" w:sz="0" w:space="0" w:color="auto"/>
        <w:bottom w:val="none" w:sz="0" w:space="0" w:color="auto"/>
        <w:right w:val="none" w:sz="0" w:space="0" w:color="auto"/>
      </w:divBdr>
    </w:div>
    <w:div w:id="909078580">
      <w:bodyDiv w:val="1"/>
      <w:marLeft w:val="0"/>
      <w:marRight w:val="0"/>
      <w:marTop w:val="0"/>
      <w:marBottom w:val="0"/>
      <w:divBdr>
        <w:top w:val="none" w:sz="0" w:space="0" w:color="auto"/>
        <w:left w:val="none" w:sz="0" w:space="0" w:color="auto"/>
        <w:bottom w:val="none" w:sz="0" w:space="0" w:color="auto"/>
        <w:right w:val="none" w:sz="0" w:space="0" w:color="auto"/>
      </w:divBdr>
    </w:div>
    <w:div w:id="976372669">
      <w:bodyDiv w:val="1"/>
      <w:marLeft w:val="0"/>
      <w:marRight w:val="0"/>
      <w:marTop w:val="0"/>
      <w:marBottom w:val="0"/>
      <w:divBdr>
        <w:top w:val="none" w:sz="0" w:space="0" w:color="auto"/>
        <w:left w:val="none" w:sz="0" w:space="0" w:color="auto"/>
        <w:bottom w:val="none" w:sz="0" w:space="0" w:color="auto"/>
        <w:right w:val="none" w:sz="0" w:space="0" w:color="auto"/>
      </w:divBdr>
    </w:div>
    <w:div w:id="1427845622">
      <w:bodyDiv w:val="1"/>
      <w:marLeft w:val="0"/>
      <w:marRight w:val="0"/>
      <w:marTop w:val="0"/>
      <w:marBottom w:val="0"/>
      <w:divBdr>
        <w:top w:val="none" w:sz="0" w:space="0" w:color="auto"/>
        <w:left w:val="none" w:sz="0" w:space="0" w:color="auto"/>
        <w:bottom w:val="none" w:sz="0" w:space="0" w:color="auto"/>
        <w:right w:val="none" w:sz="0" w:space="0" w:color="auto"/>
      </w:divBdr>
    </w:div>
    <w:div w:id="1496527747">
      <w:bodyDiv w:val="1"/>
      <w:marLeft w:val="0"/>
      <w:marRight w:val="0"/>
      <w:marTop w:val="0"/>
      <w:marBottom w:val="0"/>
      <w:divBdr>
        <w:top w:val="none" w:sz="0" w:space="0" w:color="auto"/>
        <w:left w:val="none" w:sz="0" w:space="0" w:color="auto"/>
        <w:bottom w:val="none" w:sz="0" w:space="0" w:color="auto"/>
        <w:right w:val="none" w:sz="0" w:space="0" w:color="auto"/>
      </w:divBdr>
    </w:div>
    <w:div w:id="1742216506">
      <w:bodyDiv w:val="1"/>
      <w:marLeft w:val="0"/>
      <w:marRight w:val="0"/>
      <w:marTop w:val="0"/>
      <w:marBottom w:val="0"/>
      <w:divBdr>
        <w:top w:val="none" w:sz="0" w:space="0" w:color="auto"/>
        <w:left w:val="none" w:sz="0" w:space="0" w:color="auto"/>
        <w:bottom w:val="none" w:sz="0" w:space="0" w:color="auto"/>
        <w:right w:val="none" w:sz="0" w:space="0" w:color="auto"/>
      </w:divBdr>
    </w:div>
    <w:div w:id="1892837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nhs-standard-contra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nhs.uk/nhs-services/hospitals/referrals-for-specialist-ca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news/news-archive/jesss-rule-cancer-diagnosi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news/news-archive/jesss-rule-cancer-diagnosi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hman\British%20Medical%20Association\Committees%20-%20Documents\23.24\GPC\GPC%20ENGLAND%2023-24\4.%20Comms\Misc\Portrait%20frontsheet%20BMA%20Eng.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33B19E4FC344987EBFF4B7CA810C9" ma:contentTypeVersion="11" ma:contentTypeDescription="Create a new document." ma:contentTypeScope="" ma:versionID="1c47ef79a3f937778c4d3c16bf4fbf8c">
  <xsd:schema xmlns:xsd="http://www.w3.org/2001/XMLSchema" xmlns:xs="http://www.w3.org/2001/XMLSchema" xmlns:p="http://schemas.microsoft.com/office/2006/metadata/properties" xmlns:ns2="3178aeb3-81ae-4ec9-b064-631950ac7084" xmlns:ns3="3da6e01c-91cd-40d1-b95d-4a4df106f2f7" targetNamespace="http://schemas.microsoft.com/office/2006/metadata/properties" ma:root="true" ma:fieldsID="d178a41744e430839edc868772fae045" ns2:_="" ns3:_="">
    <xsd:import namespace="3178aeb3-81ae-4ec9-b064-631950ac7084"/>
    <xsd:import namespace="3da6e01c-91cd-40d1-b95d-4a4df106f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8aeb3-81ae-4ec9-b064-631950ac7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6e01c-91cd-40d1-b95d-4a4df106f2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db786d-2163-4510-a359-cec81875101e}" ma:internalName="TaxCatchAll" ma:showField="CatchAllData" ma:web="3da6e01c-91cd-40d1-b95d-4a4df106f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78aeb3-81ae-4ec9-b064-631950ac7084">
      <Terms xmlns="http://schemas.microsoft.com/office/infopath/2007/PartnerControls"/>
    </lcf76f155ced4ddcb4097134ff3c332f>
    <TaxCatchAll xmlns="3da6e01c-91cd-40d1-b95d-4a4df106f2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AE493-2A48-408E-951A-6A0EB28C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8aeb3-81ae-4ec9-b064-631950ac7084"/>
    <ds:schemaRef ds:uri="3da6e01c-91cd-40d1-b95d-4a4df106f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AFBB5-1E6E-4D0B-B19A-21911668D8AE}">
  <ds:schemaRefs>
    <ds:schemaRef ds:uri="http://schemas.openxmlformats.org/officeDocument/2006/bibliography"/>
  </ds:schemaRefs>
</ds:datastoreItem>
</file>

<file path=customXml/itemProps3.xml><?xml version="1.0" encoding="utf-8"?>
<ds:datastoreItem xmlns:ds="http://schemas.openxmlformats.org/officeDocument/2006/customXml" ds:itemID="{F272FFD0-0E86-4547-83F3-547720BC19E2}">
  <ds:schemaRefs>
    <ds:schemaRef ds:uri="http://schemas.microsoft.com/office/2006/metadata/properties"/>
    <ds:schemaRef ds:uri="http://schemas.microsoft.com/office/infopath/2007/PartnerControls"/>
    <ds:schemaRef ds:uri="3178aeb3-81ae-4ec9-b064-631950ac7084"/>
    <ds:schemaRef ds:uri="3da6e01c-91cd-40d1-b95d-4a4df106f2f7"/>
  </ds:schemaRefs>
</ds:datastoreItem>
</file>

<file path=customXml/itemProps4.xml><?xml version="1.0" encoding="utf-8"?>
<ds:datastoreItem xmlns:ds="http://schemas.openxmlformats.org/officeDocument/2006/customXml" ds:itemID="{A621181F-F638-4088-960B-6FC005BE8344}">
  <ds:schemaRefs>
    <ds:schemaRef ds:uri="http://schemas.microsoft.com/sharepoint/v3/contenttype/forms"/>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Portrait frontsheet BMA Eng</Template>
  <TotalTime>2</TotalTime>
  <Pages>12</Pages>
  <Words>3337</Words>
  <Characters>19025</Characters>
  <Application>Microsoft Office Word</Application>
  <DocSecurity>0</DocSecurity>
  <Lines>158</Lines>
  <Paragraphs>44</Paragraphs>
  <ScaleCrop>false</ScaleCrop>
  <Company>GK Presentations Ltd</Company>
  <LinksUpToDate>false</LinksUpToDate>
  <CharactersWithSpaces>22318</CharactersWithSpaces>
  <SharedDoc>false</SharedDoc>
  <HLinks>
    <vt:vector size="126" baseType="variant">
      <vt:variant>
        <vt:i4>458821</vt:i4>
      </vt:variant>
      <vt:variant>
        <vt:i4>114</vt:i4>
      </vt:variant>
      <vt:variant>
        <vt:i4>0</vt:i4>
      </vt:variant>
      <vt:variant>
        <vt:i4>5</vt:i4>
      </vt:variant>
      <vt:variant>
        <vt:lpwstr>https://www.gmc-uk.org/news/news-archive/jesss-rule-cancer-diagnosis</vt:lpwstr>
      </vt:variant>
      <vt:variant>
        <vt:lpwstr/>
      </vt:variant>
      <vt:variant>
        <vt:i4>1900614</vt:i4>
      </vt:variant>
      <vt:variant>
        <vt:i4>111</vt:i4>
      </vt:variant>
      <vt:variant>
        <vt:i4>0</vt:i4>
      </vt:variant>
      <vt:variant>
        <vt:i4>5</vt:i4>
      </vt:variant>
      <vt:variant>
        <vt:lpwstr>https://www.england.nhs.uk/nhs-standard-contract/</vt:lpwstr>
      </vt:variant>
      <vt:variant>
        <vt:lpwstr/>
      </vt:variant>
      <vt:variant>
        <vt:i4>5373960</vt:i4>
      </vt:variant>
      <vt:variant>
        <vt:i4>108</vt:i4>
      </vt:variant>
      <vt:variant>
        <vt:i4>0</vt:i4>
      </vt:variant>
      <vt:variant>
        <vt:i4>5</vt:i4>
      </vt:variant>
      <vt:variant>
        <vt:lpwstr>https://www.nhs.uk/nhs-services/hospitals/referrals-for-specialist-care/</vt:lpwstr>
      </vt:variant>
      <vt:variant>
        <vt:lpwstr/>
      </vt:variant>
      <vt:variant>
        <vt:i4>458821</vt:i4>
      </vt:variant>
      <vt:variant>
        <vt:i4>105</vt:i4>
      </vt:variant>
      <vt:variant>
        <vt:i4>0</vt:i4>
      </vt:variant>
      <vt:variant>
        <vt:i4>5</vt:i4>
      </vt:variant>
      <vt:variant>
        <vt:lpwstr>https://www.gmc-uk.org/news/news-archive/jesss-rule-cancer-diagnosis</vt:lpwstr>
      </vt:variant>
      <vt:variant>
        <vt:lpwstr/>
      </vt:variant>
      <vt:variant>
        <vt:i4>1179699</vt:i4>
      </vt:variant>
      <vt:variant>
        <vt:i4>98</vt:i4>
      </vt:variant>
      <vt:variant>
        <vt:i4>0</vt:i4>
      </vt:variant>
      <vt:variant>
        <vt:i4>5</vt:i4>
      </vt:variant>
      <vt:variant>
        <vt:lpwstr/>
      </vt:variant>
      <vt:variant>
        <vt:lpwstr>_Toc227340248</vt:lpwstr>
      </vt:variant>
      <vt:variant>
        <vt:i4>1179699</vt:i4>
      </vt:variant>
      <vt:variant>
        <vt:i4>92</vt:i4>
      </vt:variant>
      <vt:variant>
        <vt:i4>0</vt:i4>
      </vt:variant>
      <vt:variant>
        <vt:i4>5</vt:i4>
      </vt:variant>
      <vt:variant>
        <vt:lpwstr/>
      </vt:variant>
      <vt:variant>
        <vt:lpwstr>_Toc227340247</vt:lpwstr>
      </vt:variant>
      <vt:variant>
        <vt:i4>1179699</vt:i4>
      </vt:variant>
      <vt:variant>
        <vt:i4>86</vt:i4>
      </vt:variant>
      <vt:variant>
        <vt:i4>0</vt:i4>
      </vt:variant>
      <vt:variant>
        <vt:i4>5</vt:i4>
      </vt:variant>
      <vt:variant>
        <vt:lpwstr/>
      </vt:variant>
      <vt:variant>
        <vt:lpwstr>_Toc227340246</vt:lpwstr>
      </vt:variant>
      <vt:variant>
        <vt:i4>1179699</vt:i4>
      </vt:variant>
      <vt:variant>
        <vt:i4>80</vt:i4>
      </vt:variant>
      <vt:variant>
        <vt:i4>0</vt:i4>
      </vt:variant>
      <vt:variant>
        <vt:i4>5</vt:i4>
      </vt:variant>
      <vt:variant>
        <vt:lpwstr/>
      </vt:variant>
      <vt:variant>
        <vt:lpwstr>_Toc227340245</vt:lpwstr>
      </vt:variant>
      <vt:variant>
        <vt:i4>1179699</vt:i4>
      </vt:variant>
      <vt:variant>
        <vt:i4>74</vt:i4>
      </vt:variant>
      <vt:variant>
        <vt:i4>0</vt:i4>
      </vt:variant>
      <vt:variant>
        <vt:i4>5</vt:i4>
      </vt:variant>
      <vt:variant>
        <vt:lpwstr/>
      </vt:variant>
      <vt:variant>
        <vt:lpwstr>_Toc227340244</vt:lpwstr>
      </vt:variant>
      <vt:variant>
        <vt:i4>1179699</vt:i4>
      </vt:variant>
      <vt:variant>
        <vt:i4>68</vt:i4>
      </vt:variant>
      <vt:variant>
        <vt:i4>0</vt:i4>
      </vt:variant>
      <vt:variant>
        <vt:i4>5</vt:i4>
      </vt:variant>
      <vt:variant>
        <vt:lpwstr/>
      </vt:variant>
      <vt:variant>
        <vt:lpwstr>_Toc227340243</vt:lpwstr>
      </vt:variant>
      <vt:variant>
        <vt:i4>1179699</vt:i4>
      </vt:variant>
      <vt:variant>
        <vt:i4>62</vt:i4>
      </vt:variant>
      <vt:variant>
        <vt:i4>0</vt:i4>
      </vt:variant>
      <vt:variant>
        <vt:i4>5</vt:i4>
      </vt:variant>
      <vt:variant>
        <vt:lpwstr/>
      </vt:variant>
      <vt:variant>
        <vt:lpwstr>_Toc227340242</vt:lpwstr>
      </vt:variant>
      <vt:variant>
        <vt:i4>1179699</vt:i4>
      </vt:variant>
      <vt:variant>
        <vt:i4>56</vt:i4>
      </vt:variant>
      <vt:variant>
        <vt:i4>0</vt:i4>
      </vt:variant>
      <vt:variant>
        <vt:i4>5</vt:i4>
      </vt:variant>
      <vt:variant>
        <vt:lpwstr/>
      </vt:variant>
      <vt:variant>
        <vt:lpwstr>_Toc227340241</vt:lpwstr>
      </vt:variant>
      <vt:variant>
        <vt:i4>1179699</vt:i4>
      </vt:variant>
      <vt:variant>
        <vt:i4>50</vt:i4>
      </vt:variant>
      <vt:variant>
        <vt:i4>0</vt:i4>
      </vt:variant>
      <vt:variant>
        <vt:i4>5</vt:i4>
      </vt:variant>
      <vt:variant>
        <vt:lpwstr/>
      </vt:variant>
      <vt:variant>
        <vt:lpwstr>_Toc227340240</vt:lpwstr>
      </vt:variant>
      <vt:variant>
        <vt:i4>1376307</vt:i4>
      </vt:variant>
      <vt:variant>
        <vt:i4>44</vt:i4>
      </vt:variant>
      <vt:variant>
        <vt:i4>0</vt:i4>
      </vt:variant>
      <vt:variant>
        <vt:i4>5</vt:i4>
      </vt:variant>
      <vt:variant>
        <vt:lpwstr/>
      </vt:variant>
      <vt:variant>
        <vt:lpwstr>_Toc227340239</vt:lpwstr>
      </vt:variant>
      <vt:variant>
        <vt:i4>1376307</vt:i4>
      </vt:variant>
      <vt:variant>
        <vt:i4>38</vt:i4>
      </vt:variant>
      <vt:variant>
        <vt:i4>0</vt:i4>
      </vt:variant>
      <vt:variant>
        <vt:i4>5</vt:i4>
      </vt:variant>
      <vt:variant>
        <vt:lpwstr/>
      </vt:variant>
      <vt:variant>
        <vt:lpwstr>_Toc227340238</vt:lpwstr>
      </vt:variant>
      <vt:variant>
        <vt:i4>1376307</vt:i4>
      </vt:variant>
      <vt:variant>
        <vt:i4>32</vt:i4>
      </vt:variant>
      <vt:variant>
        <vt:i4>0</vt:i4>
      </vt:variant>
      <vt:variant>
        <vt:i4>5</vt:i4>
      </vt:variant>
      <vt:variant>
        <vt:lpwstr/>
      </vt:variant>
      <vt:variant>
        <vt:lpwstr>_Toc227340237</vt:lpwstr>
      </vt:variant>
      <vt:variant>
        <vt:i4>1376307</vt:i4>
      </vt:variant>
      <vt:variant>
        <vt:i4>26</vt:i4>
      </vt:variant>
      <vt:variant>
        <vt:i4>0</vt:i4>
      </vt:variant>
      <vt:variant>
        <vt:i4>5</vt:i4>
      </vt:variant>
      <vt:variant>
        <vt:lpwstr/>
      </vt:variant>
      <vt:variant>
        <vt:lpwstr>_Toc227340236</vt:lpwstr>
      </vt:variant>
      <vt:variant>
        <vt:i4>1376307</vt:i4>
      </vt:variant>
      <vt:variant>
        <vt:i4>20</vt:i4>
      </vt:variant>
      <vt:variant>
        <vt:i4>0</vt:i4>
      </vt:variant>
      <vt:variant>
        <vt:i4>5</vt:i4>
      </vt:variant>
      <vt:variant>
        <vt:lpwstr/>
      </vt:variant>
      <vt:variant>
        <vt:lpwstr>_Toc227340235</vt:lpwstr>
      </vt:variant>
      <vt:variant>
        <vt:i4>1376307</vt:i4>
      </vt:variant>
      <vt:variant>
        <vt:i4>14</vt:i4>
      </vt:variant>
      <vt:variant>
        <vt:i4>0</vt:i4>
      </vt:variant>
      <vt:variant>
        <vt:i4>5</vt:i4>
      </vt:variant>
      <vt:variant>
        <vt:lpwstr/>
      </vt:variant>
      <vt:variant>
        <vt:lpwstr>_Toc227340234</vt:lpwstr>
      </vt:variant>
      <vt:variant>
        <vt:i4>1376307</vt:i4>
      </vt:variant>
      <vt:variant>
        <vt:i4>8</vt:i4>
      </vt:variant>
      <vt:variant>
        <vt:i4>0</vt:i4>
      </vt:variant>
      <vt:variant>
        <vt:i4>5</vt:i4>
      </vt:variant>
      <vt:variant>
        <vt:lpwstr/>
      </vt:variant>
      <vt:variant>
        <vt:lpwstr>_Toc227340233</vt:lpwstr>
      </vt:variant>
      <vt:variant>
        <vt:i4>1376307</vt:i4>
      </vt:variant>
      <vt:variant>
        <vt:i4>2</vt:i4>
      </vt:variant>
      <vt:variant>
        <vt:i4>0</vt:i4>
      </vt:variant>
      <vt:variant>
        <vt:i4>5</vt:i4>
      </vt:variant>
      <vt:variant>
        <vt:lpwstr/>
      </vt:variant>
      <vt:variant>
        <vt:lpwstr>_Toc227340232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Charlie Page</cp:lastModifiedBy>
  <cp:revision>2</cp:revision>
  <cp:lastPrinted>2014-11-20T08:48:00Z</cp:lastPrinted>
  <dcterms:created xsi:type="dcterms:W3CDTF">2026-05-15T10:41:00Z</dcterms:created>
  <dcterms:modified xsi:type="dcterms:W3CDTF">2026-05-15T10:41:00Z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0x010100E6E33B19E4FC344987EBFF4B7CA810C9</vt:lpwstr>
  </property>
  <property fmtid="{D5CDD505-2E9C-101B-9397-08002B2CF9AE}" pid="3" name="ClassificationContentMarkingHeaderShapeIds">
    <vt:lpwstr>2110e8c6,21fe36d1,6888c29c</vt:lpwstr>
  </property>
  <property fmtid="{D5CDD505-2E9C-101B-9397-08002B2CF9AE}" pid="4" name="ClassificationContentMarkingHeaderFontProps">
    <vt:lpwstr>#000000,8,Calibri</vt:lpwstr>
  </property>
  <property fmtid="{D5CDD505-2E9C-101B-9397-08002B2CF9AE}" pid="5" name="ClassificationContentMarkingHeaderText">
    <vt:lpwstr>Sensitivity: Unrestricted</vt:lpwstr>
  </property>
  <property fmtid="{D5CDD505-2E9C-101B-9397-08002B2CF9AE}" pid="6" name="ClassificationContentMarkingFooterShapeIds">
    <vt:lpwstr>4e6206da,12b1cbf4,77e8a5a1</vt:lpwstr>
  </property>
  <property fmtid="{D5CDD505-2E9C-101B-9397-08002B2CF9AE}" pid="7" name="ClassificationContentMarkingFooterFontProps">
    <vt:lpwstr>#000000,8,Calibri</vt:lpwstr>
  </property>
  <property fmtid="{D5CDD505-2E9C-101B-9397-08002B2CF9AE}" pid="8" name="ClassificationContentMarkingFooterText">
    <vt:lpwstr>Sensitivity: Unrestricted</vt:lpwstr>
  </property>
  <property fmtid="{D5CDD505-2E9C-101B-9397-08002B2CF9AE}" pid="9" name="MSIP_Label_27922460-7a50-45c6-8899-752de77fbf8e_Enabled">
    <vt:lpwstr>true</vt:lpwstr>
  </property>
  <property fmtid="{D5CDD505-2E9C-101B-9397-08002B2CF9AE}" pid="10" name="MSIP_Label_27922460-7a50-45c6-8899-752de77fbf8e_SetDate">
    <vt:lpwstr>2024-05-16T14:45:56Z</vt:lpwstr>
  </property>
  <property fmtid="{D5CDD505-2E9C-101B-9397-08002B2CF9AE}" pid="11" name="MSIP_Label_27922460-7a50-45c6-8899-752de77fbf8e_Method">
    <vt:lpwstr>Privileged</vt:lpwstr>
  </property>
  <property fmtid="{D5CDD505-2E9C-101B-9397-08002B2CF9AE}" pid="12" name="MSIP_Label_27922460-7a50-45c6-8899-752de77fbf8e_Name">
    <vt:lpwstr>Unrestricted</vt:lpwstr>
  </property>
  <property fmtid="{D5CDD505-2E9C-101B-9397-08002B2CF9AE}" pid="13" name="MSIP_Label_27922460-7a50-45c6-8899-752de77fbf8e_SiteId">
    <vt:lpwstr>bf448ebe-e65f-40e6-9e31-33fdaa412880</vt:lpwstr>
  </property>
  <property fmtid="{D5CDD505-2E9C-101B-9397-08002B2CF9AE}" pid="14" name="MSIP_Label_27922460-7a50-45c6-8899-752de77fbf8e_ActionId">
    <vt:lpwstr>1e7245c9-f176-42aa-bd23-09b799026f1e</vt:lpwstr>
  </property>
  <property fmtid="{D5CDD505-2E9C-101B-9397-08002B2CF9AE}" pid="15" name="MSIP_Label_27922460-7a50-45c6-8899-752de77fbf8e_ContentBits">
    <vt:lpwstr>3</vt:lpwstr>
  </property>
  <property fmtid="{D5CDD505-2E9C-101B-9397-08002B2CF9AE}" pid="16" name="MediaServiceImageTags">
    <vt:lpwstr/>
  </property>
  <property fmtid="{D5CDD505-2E9C-101B-9397-08002B2CF9AE}" pid="17" name="docLang">
    <vt:lpwstr>en</vt:lpwstr>
  </property>
</Properties>
</file>